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spacing w:line="400" w:lineRule="exact"/>
        <w:rPr>
          <w:rFonts w:ascii="Times New Roman" w:hAnsi="Times New Roman" w:eastAsia="黑体"/>
        </w:rPr>
      </w:pPr>
      <w:r>
        <w:rPr>
          <w:rFonts w:hint="eastAsia" w:ascii="Times New Roman" w:hAnsi="Times New Roman" w:eastAsia="黑体"/>
          <w:sz w:val="28"/>
          <w:szCs w:val="28"/>
        </w:rPr>
        <w:t>项目编号：XB202</w:t>
      </w:r>
      <w:r>
        <w:rPr>
          <w:rFonts w:hint="eastAsia" w:ascii="Times New Roman" w:hAnsi="Times New Roman" w:eastAsia="黑体"/>
          <w:sz w:val="28"/>
          <w:szCs w:val="28"/>
          <w:lang w:val="en-US" w:eastAsia="zh-CN"/>
        </w:rPr>
        <w:t>60228</w:t>
      </w:r>
      <w:r>
        <w:rPr>
          <w:rFonts w:hint="eastAsia" w:ascii="Times New Roman" w:hAnsi="Times New Roman" w:eastAsia="黑体"/>
          <w:sz w:val="28"/>
          <w:szCs w:val="28"/>
        </w:rPr>
        <w:t>-01</w:t>
      </w:r>
    </w:p>
    <w:p w14:paraId="41DEA499">
      <w:pPr>
        <w:spacing w:line="400" w:lineRule="exact"/>
        <w:rPr>
          <w:rFonts w:ascii="Times New Roman" w:hAnsi="Times New Roman"/>
        </w:rPr>
      </w:pPr>
    </w:p>
    <w:p w14:paraId="33B97A2A">
      <w:pPr>
        <w:spacing w:line="400" w:lineRule="exact"/>
        <w:rPr>
          <w:rFonts w:ascii="Times New Roman" w:hAnsi="Times New Roman"/>
        </w:rPr>
      </w:pPr>
    </w:p>
    <w:p w14:paraId="2675DF1E"/>
    <w:p w14:paraId="338CAE2E">
      <w:pPr>
        <w:spacing w:line="400" w:lineRule="exact"/>
        <w:rPr>
          <w:rFonts w:ascii="Times New Roman" w:hAnsi="Times New Roman"/>
        </w:rPr>
      </w:pPr>
    </w:p>
    <w:p w14:paraId="6BCE03A0">
      <w:pPr>
        <w:spacing w:line="400" w:lineRule="exact"/>
        <w:rPr>
          <w:rFonts w:ascii="Times New Roman" w:hAnsi="Times New Roman"/>
        </w:rPr>
      </w:pPr>
    </w:p>
    <w:p w14:paraId="51A057DA">
      <w:pPr>
        <w:spacing w:line="360" w:lineRule="auto"/>
        <w:jc w:val="center"/>
        <w:rPr>
          <w:rFonts w:ascii="Times New Roman" w:hAnsi="Times New Roman" w:eastAsia="黑体"/>
          <w:sz w:val="44"/>
          <w:szCs w:val="44"/>
        </w:rPr>
      </w:pPr>
      <w:r>
        <w:rPr>
          <w:rFonts w:hint="eastAsia" w:ascii="Times New Roman" w:hAnsi="Times New Roman" w:eastAsia="黑体"/>
          <w:sz w:val="44"/>
          <w:szCs w:val="44"/>
        </w:rPr>
        <w:t>陕西锌业有限公司</w:t>
      </w:r>
    </w:p>
    <w:p w14:paraId="43EDCF82">
      <w:pPr>
        <w:spacing w:line="360" w:lineRule="auto"/>
        <w:jc w:val="center"/>
        <w:rPr>
          <w:rFonts w:ascii="Times New Roman" w:hAnsi="Times New Roman" w:eastAsia="黑体"/>
          <w:sz w:val="44"/>
          <w:szCs w:val="44"/>
          <w:highlight w:val="yellow"/>
        </w:rPr>
      </w:pPr>
      <w:r>
        <w:rPr>
          <w:rFonts w:hint="eastAsia" w:ascii="Times New Roman" w:hAnsi="Times New Roman" w:eastAsia="黑体"/>
          <w:sz w:val="44"/>
          <w:szCs w:val="44"/>
          <w:lang w:val="en-US" w:eastAsia="zh-CN"/>
        </w:rPr>
        <w:t>银浮选改造电动单梁起重机</w:t>
      </w:r>
      <w:r>
        <w:rPr>
          <w:rFonts w:hint="eastAsia" w:ascii="Times New Roman" w:hAnsi="Times New Roman" w:eastAsia="黑体"/>
          <w:sz w:val="44"/>
          <w:szCs w:val="44"/>
        </w:rPr>
        <w:t>采购项目</w:t>
      </w:r>
    </w:p>
    <w:p w14:paraId="7117E4F1">
      <w:pPr>
        <w:rPr>
          <w:rFonts w:ascii="Times New Roman" w:hAnsi="Times New Roman"/>
          <w:sz w:val="28"/>
        </w:rPr>
      </w:pPr>
    </w:p>
    <w:p w14:paraId="7C187FEF">
      <w:pPr>
        <w:jc w:val="center"/>
        <w:rPr>
          <w:rFonts w:ascii="Times New Roman" w:hAnsi="Times New Roman" w:eastAsia="黑体"/>
          <w:sz w:val="44"/>
        </w:rPr>
      </w:pPr>
      <w:r>
        <w:rPr>
          <w:rFonts w:hint="eastAsia" w:ascii="Times New Roman" w:hAnsi="Times New Roman" w:eastAsia="黑体"/>
          <w:sz w:val="44"/>
        </w:rPr>
        <w:t>询比采购文件</w:t>
      </w:r>
    </w:p>
    <w:p w14:paraId="5E7BF4EE">
      <w:pPr>
        <w:spacing w:line="400" w:lineRule="exact"/>
        <w:rPr>
          <w:rFonts w:ascii="Times New Roman" w:hAnsi="Times New Roman"/>
        </w:rPr>
      </w:pPr>
    </w:p>
    <w:p w14:paraId="56BAF6A0">
      <w:pPr>
        <w:spacing w:line="400" w:lineRule="exact"/>
        <w:rPr>
          <w:rFonts w:ascii="Times New Roman" w:hAnsi="Times New Roman"/>
        </w:rPr>
      </w:pPr>
    </w:p>
    <w:p w14:paraId="63E1BCA9">
      <w:pPr>
        <w:spacing w:line="400" w:lineRule="exact"/>
        <w:rPr>
          <w:rFonts w:ascii="Times New Roman" w:hAnsi="Times New Roman"/>
        </w:rPr>
      </w:pPr>
    </w:p>
    <w:p w14:paraId="09B8300C">
      <w:pPr>
        <w:spacing w:line="400" w:lineRule="exact"/>
        <w:rPr>
          <w:rFonts w:ascii="Times New Roman" w:hAnsi="Times New Roman"/>
        </w:rPr>
      </w:pPr>
    </w:p>
    <w:p w14:paraId="603E8CBF">
      <w:pPr>
        <w:spacing w:line="400" w:lineRule="exact"/>
        <w:rPr>
          <w:rFonts w:ascii="Times New Roman" w:hAnsi="Times New Roman"/>
        </w:rPr>
      </w:pPr>
    </w:p>
    <w:p w14:paraId="6331DA8F">
      <w:pPr>
        <w:spacing w:line="400" w:lineRule="exact"/>
        <w:rPr>
          <w:rFonts w:ascii="Times New Roman" w:hAnsi="Times New Roman"/>
        </w:rPr>
      </w:pPr>
    </w:p>
    <w:p w14:paraId="0C5EE92A">
      <w:pPr>
        <w:spacing w:line="400" w:lineRule="exact"/>
        <w:rPr>
          <w:rFonts w:ascii="Times New Roman" w:hAnsi="Times New Roman"/>
        </w:rPr>
      </w:pPr>
    </w:p>
    <w:p w14:paraId="70332C36">
      <w:pPr>
        <w:spacing w:line="400" w:lineRule="exact"/>
        <w:rPr>
          <w:rFonts w:ascii="Times New Roman" w:hAnsi="Times New Roman"/>
        </w:rPr>
      </w:pPr>
    </w:p>
    <w:p w14:paraId="459319BC">
      <w:pPr>
        <w:pStyle w:val="3"/>
        <w:spacing w:before="24" w:after="24"/>
        <w:ind w:firstLine="480"/>
      </w:pPr>
    </w:p>
    <w:p w14:paraId="5986417F">
      <w:pPr>
        <w:pStyle w:val="3"/>
        <w:spacing w:before="24" w:after="24"/>
        <w:ind w:firstLine="480"/>
      </w:pPr>
    </w:p>
    <w:p w14:paraId="55DCF675">
      <w:pPr>
        <w:pStyle w:val="3"/>
        <w:spacing w:before="24" w:after="24"/>
        <w:ind w:firstLine="0" w:firstLineChars="0"/>
      </w:pPr>
    </w:p>
    <w:p w14:paraId="6FA05438">
      <w:pPr>
        <w:pStyle w:val="3"/>
        <w:spacing w:before="24" w:after="24"/>
        <w:ind w:firstLine="0" w:firstLineChars="0"/>
      </w:pPr>
    </w:p>
    <w:p w14:paraId="18B75C99">
      <w:pPr>
        <w:spacing w:line="360" w:lineRule="auto"/>
        <w:jc w:val="center"/>
        <w:rPr>
          <w:rFonts w:ascii="Times New Roman" w:hAnsi="Times New Roman" w:eastAsia="黑体"/>
          <w:sz w:val="36"/>
          <w:szCs w:val="36"/>
        </w:rPr>
      </w:pPr>
      <w:r>
        <w:rPr>
          <w:rFonts w:hint="eastAsia" w:ascii="Times New Roman" w:hAnsi="Times New Roman" w:eastAsia="黑体"/>
          <w:sz w:val="36"/>
          <w:szCs w:val="36"/>
        </w:rPr>
        <w:t>采购人：陕西锌业有限公司</w:t>
      </w:r>
    </w:p>
    <w:p w14:paraId="3736584A">
      <w:pPr>
        <w:spacing w:line="360" w:lineRule="auto"/>
        <w:jc w:val="center"/>
        <w:rPr>
          <w:rFonts w:ascii="Times New Roman" w:hAnsi="Times New Roman" w:eastAsia="黑体"/>
          <w:sz w:val="36"/>
          <w:szCs w:val="36"/>
        </w:rPr>
      </w:pPr>
      <w:r>
        <w:rPr>
          <w:rFonts w:hint="eastAsia" w:ascii="Times New Roman" w:hAnsi="Times New Roman" w:eastAsia="黑体"/>
          <w:sz w:val="36"/>
          <w:szCs w:val="36"/>
        </w:rPr>
        <w:t>负责人：    徐   靖</w:t>
      </w:r>
    </w:p>
    <w:p w14:paraId="26E85203">
      <w:pPr>
        <w:spacing w:line="360" w:lineRule="auto"/>
        <w:ind w:firstLine="5760" w:firstLineChars="1800"/>
        <w:jc w:val="center"/>
        <w:rPr>
          <w:rFonts w:ascii="Times New Roman" w:hAnsi="Times New Roman" w:eastAsia="黑体"/>
          <w:sz w:val="32"/>
          <w:szCs w:val="32"/>
        </w:rPr>
      </w:pPr>
    </w:p>
    <w:p w14:paraId="26CEE8B6">
      <w:pPr>
        <w:spacing w:line="360" w:lineRule="auto"/>
        <w:ind w:firstLine="5760" w:firstLineChars="1800"/>
        <w:jc w:val="center"/>
        <w:rPr>
          <w:rFonts w:ascii="Times New Roman" w:hAnsi="Times New Roman" w:eastAsia="黑体"/>
          <w:sz w:val="32"/>
          <w:szCs w:val="32"/>
        </w:rPr>
      </w:pPr>
    </w:p>
    <w:p w14:paraId="360B4CF5">
      <w:pPr>
        <w:spacing w:line="360" w:lineRule="auto"/>
        <w:jc w:val="center"/>
        <w:rPr>
          <w:rFonts w:ascii="Times New Roman" w:hAnsi="Times New Roman" w:eastAsia="宋体"/>
          <w:sz w:val="32"/>
          <w:szCs w:val="32"/>
        </w:rPr>
        <w:sectPr>
          <w:headerReference r:id="rId3" w:type="default"/>
          <w:footerReference r:id="rId4" w:type="default"/>
          <w:footerReference r:id="rId5" w:type="even"/>
          <w:pgSz w:w="11905" w:h="16838"/>
          <w:pgMar w:top="1134" w:right="1134" w:bottom="1134" w:left="1417" w:header="720" w:footer="720" w:gutter="0"/>
          <w:cols w:space="720" w:num="1"/>
          <w:docGrid w:linePitch="285" w:charSpace="0"/>
        </w:sectPr>
      </w:pPr>
      <w:r>
        <w:rPr>
          <w:rFonts w:hint="eastAsia" w:ascii="Times New Roman" w:hAnsi="Times New Roman" w:eastAsia="黑体"/>
          <w:sz w:val="32"/>
          <w:szCs w:val="32"/>
        </w:rPr>
        <w:t>二〇二</w:t>
      </w: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年</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月</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日</w:t>
      </w:r>
    </w:p>
    <w:p w14:paraId="6A7BE39A">
      <w:pPr>
        <w:pStyle w:val="11"/>
        <w:widowControl/>
        <w:spacing w:beforeAutospacing="0" w:afterAutospacing="0" w:line="405" w:lineRule="atLeast"/>
        <w:jc w:val="center"/>
        <w:rPr>
          <w:rFonts w:ascii="黑体" w:hAnsi="黑体" w:eastAsia="黑体" w:cs="黑体"/>
          <w:b/>
          <w:bCs/>
          <w:sz w:val="36"/>
          <w:szCs w:val="36"/>
        </w:rPr>
      </w:pPr>
    </w:p>
    <w:p w14:paraId="6F35B9A2">
      <w:pPr>
        <w:pStyle w:val="11"/>
        <w:widowControl/>
        <w:spacing w:beforeAutospacing="0" w:afterAutospacing="0" w:line="405" w:lineRule="atLeast"/>
        <w:jc w:val="center"/>
        <w:rPr>
          <w:rFonts w:ascii="黑体" w:hAnsi="黑体" w:eastAsia="黑体" w:cs="黑体"/>
          <w:b/>
          <w:bCs/>
          <w:sz w:val="36"/>
          <w:szCs w:val="36"/>
        </w:rPr>
      </w:pPr>
    </w:p>
    <w:p w14:paraId="11E64BDA">
      <w:pPr>
        <w:pStyle w:val="11"/>
        <w:widowControl/>
        <w:spacing w:beforeAutospacing="0" w:afterAutospacing="0" w:line="405" w:lineRule="atLeast"/>
        <w:jc w:val="center"/>
        <w:rPr>
          <w:rFonts w:ascii="黑体" w:hAnsi="黑体" w:eastAsia="黑体" w:cs="黑体"/>
          <w:b/>
          <w:bCs/>
          <w:sz w:val="36"/>
          <w:szCs w:val="36"/>
        </w:rPr>
      </w:pPr>
    </w:p>
    <w:p w14:paraId="5C9E0DF2">
      <w:pPr>
        <w:pStyle w:val="11"/>
        <w:widowControl/>
        <w:spacing w:beforeAutospacing="0" w:afterAutospacing="0" w:line="405" w:lineRule="atLeast"/>
        <w:jc w:val="center"/>
        <w:rPr>
          <w:rFonts w:ascii="黑体" w:hAnsi="黑体" w:eastAsia="黑体" w:cs="黑体"/>
          <w:b/>
          <w:bCs/>
          <w:sz w:val="36"/>
          <w:szCs w:val="36"/>
        </w:rPr>
      </w:pPr>
    </w:p>
    <w:p w14:paraId="653A0DD3">
      <w:pPr>
        <w:pStyle w:val="11"/>
        <w:widowControl/>
        <w:spacing w:beforeAutospacing="0" w:afterAutospacing="0" w:line="405" w:lineRule="atLeast"/>
        <w:jc w:val="center"/>
        <w:rPr>
          <w:rFonts w:ascii="黑体" w:hAnsi="黑体" w:eastAsia="黑体" w:cs="黑体"/>
          <w:b/>
          <w:bCs/>
          <w:sz w:val="36"/>
          <w:szCs w:val="36"/>
        </w:rPr>
      </w:pPr>
    </w:p>
    <w:p w14:paraId="2698A8F6">
      <w:pPr>
        <w:pStyle w:val="11"/>
        <w:widowControl/>
        <w:spacing w:beforeAutospacing="0" w:afterAutospacing="0" w:line="405" w:lineRule="atLeast"/>
        <w:jc w:val="center"/>
        <w:rPr>
          <w:rFonts w:ascii="黑体" w:hAnsi="黑体" w:eastAsia="黑体" w:cs="黑体"/>
          <w:b/>
          <w:bCs/>
          <w:sz w:val="36"/>
          <w:szCs w:val="36"/>
        </w:rPr>
      </w:pPr>
    </w:p>
    <w:p w14:paraId="34CF6A21">
      <w:pPr>
        <w:pStyle w:val="11"/>
        <w:widowControl/>
        <w:spacing w:beforeAutospacing="0" w:afterAutospacing="0" w:line="405" w:lineRule="atLeast"/>
        <w:jc w:val="center"/>
        <w:rPr>
          <w:rFonts w:ascii="黑体" w:hAnsi="黑体" w:eastAsia="黑体" w:cs="黑体"/>
          <w:b/>
          <w:bCs/>
          <w:sz w:val="36"/>
          <w:szCs w:val="36"/>
        </w:rPr>
      </w:pPr>
    </w:p>
    <w:p w14:paraId="63B612D7">
      <w:pPr>
        <w:pStyle w:val="11"/>
        <w:widowControl/>
        <w:spacing w:beforeAutospacing="0" w:afterAutospacing="0" w:line="405" w:lineRule="atLeast"/>
        <w:jc w:val="center"/>
        <w:rPr>
          <w:rFonts w:ascii="黑体" w:hAnsi="黑体" w:eastAsia="黑体" w:cs="黑体"/>
          <w:b/>
          <w:bCs/>
          <w:sz w:val="36"/>
          <w:szCs w:val="36"/>
        </w:rPr>
      </w:pPr>
    </w:p>
    <w:p w14:paraId="71A1CBA0">
      <w:pPr>
        <w:pStyle w:val="11"/>
        <w:widowControl/>
        <w:spacing w:beforeAutospacing="0" w:afterAutospacing="0" w:line="405" w:lineRule="atLeast"/>
        <w:jc w:val="center"/>
        <w:rPr>
          <w:rFonts w:ascii="黑体" w:hAnsi="黑体" w:eastAsia="黑体" w:cs="黑体"/>
          <w:b/>
          <w:bCs/>
          <w:sz w:val="36"/>
          <w:szCs w:val="36"/>
        </w:rPr>
      </w:pPr>
    </w:p>
    <w:p w14:paraId="2E24DE8E">
      <w:pPr>
        <w:pStyle w:val="11"/>
        <w:widowControl/>
        <w:spacing w:beforeAutospacing="0" w:afterAutospacing="0" w:line="405" w:lineRule="atLeast"/>
        <w:jc w:val="center"/>
        <w:rPr>
          <w:rFonts w:ascii="黑体" w:hAnsi="黑体" w:eastAsia="黑体" w:cs="黑体"/>
          <w:b/>
          <w:bCs/>
          <w:sz w:val="36"/>
          <w:szCs w:val="36"/>
        </w:rPr>
      </w:pPr>
    </w:p>
    <w:p w14:paraId="35023432">
      <w:pPr>
        <w:pStyle w:val="11"/>
        <w:widowControl/>
        <w:spacing w:beforeAutospacing="0" w:afterAutospacing="0" w:line="405" w:lineRule="atLeast"/>
        <w:jc w:val="center"/>
        <w:rPr>
          <w:rFonts w:ascii="黑体" w:hAnsi="黑体" w:eastAsia="黑体" w:cs="黑体"/>
          <w:b/>
          <w:bCs/>
          <w:sz w:val="36"/>
          <w:szCs w:val="36"/>
        </w:rPr>
      </w:pPr>
    </w:p>
    <w:p w14:paraId="1C92F5D5">
      <w:pPr>
        <w:pStyle w:val="11"/>
        <w:widowControl/>
        <w:spacing w:beforeAutospacing="0" w:afterAutospacing="0" w:line="405" w:lineRule="atLeast"/>
        <w:jc w:val="center"/>
        <w:rPr>
          <w:rFonts w:ascii="黑体" w:hAnsi="黑体" w:eastAsia="黑体" w:cs="黑体"/>
          <w:b/>
          <w:bCs/>
          <w:sz w:val="36"/>
          <w:szCs w:val="36"/>
        </w:rPr>
      </w:pPr>
    </w:p>
    <w:p w14:paraId="5581A116">
      <w:pPr>
        <w:pStyle w:val="11"/>
        <w:widowControl/>
        <w:spacing w:beforeAutospacing="0" w:afterAutospacing="0" w:line="405" w:lineRule="atLeast"/>
        <w:jc w:val="center"/>
        <w:rPr>
          <w:rFonts w:ascii="黑体" w:hAnsi="黑体" w:eastAsia="黑体" w:cs="黑体"/>
          <w:b/>
          <w:bCs/>
          <w:sz w:val="36"/>
          <w:szCs w:val="36"/>
        </w:rPr>
      </w:pPr>
    </w:p>
    <w:p w14:paraId="14102DD2">
      <w:pPr>
        <w:pStyle w:val="11"/>
        <w:widowControl/>
        <w:spacing w:beforeAutospacing="0" w:afterAutospacing="0" w:line="405" w:lineRule="atLeast"/>
        <w:jc w:val="center"/>
        <w:rPr>
          <w:rFonts w:ascii="黑体" w:hAnsi="黑体" w:eastAsia="黑体" w:cs="黑体"/>
          <w:b/>
          <w:bCs/>
          <w:sz w:val="36"/>
          <w:szCs w:val="36"/>
        </w:rPr>
      </w:pPr>
    </w:p>
    <w:p w14:paraId="16C75B2E">
      <w:pPr>
        <w:pStyle w:val="11"/>
        <w:widowControl/>
        <w:spacing w:beforeAutospacing="0" w:afterAutospacing="0" w:line="405" w:lineRule="atLeast"/>
        <w:jc w:val="center"/>
        <w:rPr>
          <w:rFonts w:ascii="黑体" w:hAnsi="黑体" w:eastAsia="黑体" w:cs="黑体"/>
          <w:b/>
          <w:bCs/>
          <w:sz w:val="36"/>
          <w:szCs w:val="36"/>
        </w:rPr>
      </w:pPr>
    </w:p>
    <w:p w14:paraId="4B762F80">
      <w:pPr>
        <w:pStyle w:val="11"/>
        <w:widowControl/>
        <w:spacing w:beforeAutospacing="0" w:afterAutospacing="0" w:line="405" w:lineRule="atLeast"/>
        <w:jc w:val="center"/>
        <w:rPr>
          <w:rFonts w:ascii="黑体" w:hAnsi="黑体" w:eastAsia="黑体" w:cs="黑体"/>
          <w:b/>
          <w:bCs/>
          <w:sz w:val="36"/>
          <w:szCs w:val="36"/>
        </w:rPr>
      </w:pPr>
    </w:p>
    <w:p w14:paraId="6DE4560C">
      <w:pPr>
        <w:pStyle w:val="11"/>
        <w:widowControl/>
        <w:spacing w:beforeAutospacing="0" w:afterAutospacing="0" w:line="405" w:lineRule="atLeast"/>
        <w:jc w:val="center"/>
        <w:rPr>
          <w:rFonts w:ascii="黑体" w:hAnsi="黑体" w:eastAsia="黑体" w:cs="黑体"/>
          <w:b/>
          <w:bCs/>
          <w:sz w:val="36"/>
          <w:szCs w:val="36"/>
        </w:rPr>
      </w:pPr>
    </w:p>
    <w:p w14:paraId="1A471C0E">
      <w:pPr>
        <w:pStyle w:val="11"/>
        <w:widowControl/>
        <w:spacing w:beforeAutospacing="0" w:afterAutospacing="0" w:line="405" w:lineRule="atLeast"/>
        <w:jc w:val="center"/>
        <w:rPr>
          <w:rFonts w:ascii="黑体" w:hAnsi="黑体" w:eastAsia="黑体" w:cs="黑体"/>
          <w:b/>
          <w:bCs/>
          <w:sz w:val="36"/>
          <w:szCs w:val="36"/>
        </w:rPr>
      </w:pPr>
    </w:p>
    <w:p w14:paraId="502E8B85">
      <w:pPr>
        <w:pStyle w:val="11"/>
        <w:widowControl/>
        <w:spacing w:beforeAutospacing="0" w:afterAutospacing="0" w:line="405" w:lineRule="atLeast"/>
        <w:jc w:val="center"/>
        <w:rPr>
          <w:rFonts w:ascii="黑体" w:hAnsi="黑体" w:eastAsia="黑体" w:cs="黑体"/>
          <w:b/>
          <w:bCs/>
          <w:sz w:val="36"/>
          <w:szCs w:val="36"/>
        </w:rPr>
      </w:pPr>
    </w:p>
    <w:p w14:paraId="6363E811">
      <w:pPr>
        <w:pStyle w:val="11"/>
        <w:widowControl/>
        <w:spacing w:beforeAutospacing="0" w:afterAutospacing="0" w:line="405" w:lineRule="atLeast"/>
        <w:jc w:val="center"/>
        <w:rPr>
          <w:rFonts w:ascii="黑体" w:hAnsi="黑体" w:eastAsia="黑体" w:cs="黑体"/>
          <w:b/>
          <w:bCs/>
          <w:sz w:val="36"/>
          <w:szCs w:val="36"/>
        </w:rPr>
      </w:pPr>
    </w:p>
    <w:p w14:paraId="17E39B7F">
      <w:pPr>
        <w:pStyle w:val="11"/>
        <w:widowControl/>
        <w:spacing w:beforeAutospacing="0" w:afterAutospacing="0" w:line="405" w:lineRule="atLeast"/>
        <w:jc w:val="center"/>
        <w:rPr>
          <w:rFonts w:ascii="黑体" w:hAnsi="黑体" w:eastAsia="黑体" w:cs="黑体"/>
          <w:b/>
          <w:bCs/>
          <w:sz w:val="36"/>
          <w:szCs w:val="36"/>
        </w:rPr>
      </w:pPr>
    </w:p>
    <w:p w14:paraId="77073EF1">
      <w:pPr>
        <w:pStyle w:val="11"/>
        <w:widowControl/>
        <w:spacing w:beforeAutospacing="0" w:afterAutospacing="0" w:line="405" w:lineRule="atLeast"/>
        <w:jc w:val="center"/>
        <w:rPr>
          <w:rFonts w:ascii="黑体" w:hAnsi="黑体" w:eastAsia="黑体" w:cs="黑体"/>
          <w:b/>
          <w:bCs/>
          <w:sz w:val="36"/>
          <w:szCs w:val="36"/>
        </w:rPr>
      </w:pPr>
    </w:p>
    <w:p w14:paraId="60A48D5A">
      <w:pPr>
        <w:pStyle w:val="11"/>
        <w:widowControl/>
        <w:spacing w:beforeAutospacing="0" w:afterAutospacing="0" w:line="405" w:lineRule="atLeast"/>
        <w:jc w:val="center"/>
        <w:rPr>
          <w:rFonts w:hint="eastAsia"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6</w:t>
      </w:r>
      <w:r>
        <w:rPr>
          <w:rFonts w:hint="eastAsia" w:ascii="黑体" w:hAnsi="黑体" w:eastAsia="黑体" w:cs="黑体"/>
          <w:b/>
          <w:bCs/>
          <w:sz w:val="36"/>
          <w:szCs w:val="36"/>
        </w:rPr>
        <w:t>年</w:t>
      </w:r>
      <w:r>
        <w:rPr>
          <w:rFonts w:hint="eastAsia" w:ascii="Times New Roman" w:hAnsi="Times New Roman" w:eastAsia="黑体"/>
          <w:sz w:val="44"/>
          <w:szCs w:val="44"/>
          <w:lang w:val="en-US" w:eastAsia="zh-CN"/>
        </w:rPr>
        <w:t>银浮选改造电动单梁起重机</w:t>
      </w:r>
    </w:p>
    <w:p w14:paraId="3FECCF47">
      <w:pPr>
        <w:pStyle w:val="11"/>
        <w:widowControl/>
        <w:spacing w:beforeAutospacing="0" w:afterAutospacing="0" w:line="405" w:lineRule="atLeast"/>
        <w:jc w:val="center"/>
        <w:rPr>
          <w:rFonts w:ascii="黑体" w:hAnsi="黑体" w:eastAsia="黑体" w:cs="黑体"/>
          <w:b/>
          <w:bCs/>
          <w:sz w:val="36"/>
          <w:szCs w:val="36"/>
        </w:rPr>
      </w:pPr>
      <w:r>
        <w:rPr>
          <w:rFonts w:hint="eastAsia" w:ascii="黑体" w:hAnsi="黑体" w:eastAsia="黑体" w:cs="黑体"/>
          <w:b/>
          <w:bCs/>
          <w:sz w:val="36"/>
          <w:szCs w:val="36"/>
        </w:rPr>
        <w:t>询比采购邀请函</w:t>
      </w:r>
    </w:p>
    <w:p w14:paraId="256DEC60">
      <w:pPr>
        <w:spacing w:line="520" w:lineRule="exact"/>
        <w:jc w:val="center"/>
        <w:rPr>
          <w:rFonts w:ascii="仿宋" w:hAnsi="仿宋" w:eastAsia="仿宋" w:cs="仿宋"/>
          <w:b/>
          <w:bCs/>
          <w:sz w:val="32"/>
          <w:szCs w:val="32"/>
        </w:rPr>
      </w:pPr>
      <w:r>
        <w:rPr>
          <w:rFonts w:hint="eastAsia" w:ascii="仿宋" w:hAnsi="仿宋" w:eastAsia="仿宋" w:cs="仿宋"/>
          <w:b/>
          <w:bCs/>
          <w:sz w:val="32"/>
          <w:szCs w:val="32"/>
        </w:rPr>
        <w:t>（采购编号：XB202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0</w:t>
      </w:r>
      <w:r>
        <w:rPr>
          <w:rFonts w:hint="eastAsia" w:ascii="仿宋" w:hAnsi="仿宋" w:eastAsia="仿宋" w:cs="仿宋"/>
          <w:b/>
          <w:bCs/>
          <w:sz w:val="32"/>
          <w:szCs w:val="32"/>
          <w:lang w:val="en-US" w:eastAsia="zh-CN"/>
        </w:rPr>
        <w:t>228</w:t>
      </w:r>
      <w:r>
        <w:rPr>
          <w:rFonts w:hint="eastAsia" w:ascii="仿宋" w:hAnsi="仿宋" w:eastAsia="仿宋" w:cs="仿宋"/>
          <w:b/>
          <w:bCs/>
          <w:sz w:val="32"/>
          <w:szCs w:val="32"/>
        </w:rPr>
        <w:t>-01）</w:t>
      </w:r>
    </w:p>
    <w:p w14:paraId="3324EC9C">
      <w:pPr>
        <w:spacing w:line="64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陕西锌业有限公司因生产需要，拟采购</w:t>
      </w:r>
      <w:r>
        <w:rPr>
          <w:rFonts w:hint="eastAsia" w:ascii="仿宋" w:hAnsi="仿宋" w:eastAsia="仿宋" w:cs="仿宋"/>
          <w:color w:val="000000"/>
          <w:sz w:val="32"/>
          <w:szCs w:val="32"/>
          <w:lang w:val="en-US" w:eastAsia="zh-CN"/>
        </w:rPr>
        <w:t>电动单梁起重机</w:t>
      </w:r>
      <w:r>
        <w:rPr>
          <w:rFonts w:hint="eastAsia" w:ascii="仿宋" w:hAnsi="仿宋" w:eastAsia="仿宋" w:cs="仿宋"/>
          <w:color w:val="000000"/>
          <w:sz w:val="32"/>
          <w:szCs w:val="32"/>
        </w:rPr>
        <w:t>一套，按照公司有关规定，拟通过询比方式确定供应商，欢迎具备相应资质及能力的单位参与该项目询比采购，具体内容如下：</w:t>
      </w:r>
    </w:p>
    <w:p w14:paraId="3C2144CF">
      <w:pPr>
        <w:pStyle w:val="5"/>
        <w:spacing w:before="0" w:after="0" w:line="640" w:lineRule="exact"/>
        <w:ind w:firstLine="643" w:firstLineChars="200"/>
        <w:rPr>
          <w:rFonts w:ascii="仿宋" w:hAnsi="仿宋" w:eastAsia="仿宋" w:cs="仿宋"/>
          <w:bCs/>
          <w:szCs w:val="32"/>
        </w:rPr>
      </w:pPr>
      <w:bookmarkStart w:id="0" w:name="_Toc14440"/>
      <w:bookmarkStart w:id="1" w:name="_Toc4593"/>
      <w:bookmarkStart w:id="2" w:name="_Toc33795775"/>
      <w:bookmarkStart w:id="3" w:name="_Toc20230"/>
      <w:r>
        <w:rPr>
          <w:rFonts w:hint="eastAsia" w:ascii="仿宋" w:hAnsi="仿宋" w:eastAsia="仿宋" w:cs="仿宋"/>
          <w:bCs/>
          <w:szCs w:val="32"/>
        </w:rPr>
        <w:t>一、采购项目</w:t>
      </w:r>
      <w:bookmarkEnd w:id="0"/>
      <w:bookmarkEnd w:id="1"/>
      <w:bookmarkEnd w:id="2"/>
      <w:bookmarkEnd w:id="3"/>
      <w:r>
        <w:rPr>
          <w:rFonts w:hint="eastAsia" w:ascii="仿宋" w:hAnsi="仿宋" w:eastAsia="仿宋" w:cs="仿宋"/>
          <w:bCs/>
          <w:szCs w:val="32"/>
        </w:rPr>
        <w:t>基本要求</w:t>
      </w:r>
    </w:p>
    <w:p w14:paraId="2778EEF7">
      <w:pPr>
        <w:pStyle w:val="5"/>
        <w:spacing w:before="0" w:after="0" w:line="640" w:lineRule="exact"/>
        <w:ind w:firstLine="320" w:firstLineChars="100"/>
        <w:rPr>
          <w:rFonts w:ascii="仿宋" w:hAnsi="仿宋" w:eastAsia="仿宋" w:cs="仿宋"/>
          <w:b w:val="0"/>
          <w:bCs/>
          <w:szCs w:val="32"/>
        </w:rPr>
      </w:pPr>
      <w:r>
        <w:rPr>
          <w:rFonts w:hint="eastAsia" w:ascii="仿宋" w:hAnsi="仿宋" w:eastAsia="仿宋" w:cs="仿宋"/>
          <w:b w:val="0"/>
          <w:bCs/>
          <w:szCs w:val="32"/>
        </w:rPr>
        <w:t>（一）采购人：陕西锌业有限公司</w:t>
      </w:r>
    </w:p>
    <w:p w14:paraId="13FCDE0B">
      <w:pPr>
        <w:spacing w:line="6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（二）采购项目名称：</w:t>
      </w:r>
      <w:bookmarkStart w:id="4" w:name="_Toc11471"/>
      <w:bookmarkStart w:id="5" w:name="_Toc7037"/>
      <w:bookmarkStart w:id="6" w:name="_Toc33795776"/>
      <w:bookmarkStart w:id="7" w:name="_Toc14565"/>
      <w:r>
        <w:rPr>
          <w:rFonts w:hint="eastAsia" w:ascii="仿宋" w:hAnsi="仿宋" w:eastAsia="仿宋" w:cs="仿宋"/>
          <w:sz w:val="32"/>
          <w:szCs w:val="32"/>
        </w:rPr>
        <w:t>陕西锌业有限公司</w:t>
      </w:r>
      <w:bookmarkEnd w:id="4"/>
      <w:bookmarkEnd w:id="5"/>
      <w:bookmarkEnd w:id="6"/>
      <w:bookmarkEnd w:id="7"/>
      <w:r>
        <w:rPr>
          <w:rFonts w:hint="eastAsia" w:ascii="仿宋" w:hAnsi="仿宋" w:eastAsia="仿宋" w:cs="仿宋"/>
          <w:sz w:val="32"/>
          <w:szCs w:val="32"/>
          <w:lang w:val="en-US" w:eastAsia="zh-CN"/>
        </w:rPr>
        <w:t>银浮选改造电动单梁起重机</w:t>
      </w:r>
      <w:r>
        <w:rPr>
          <w:rFonts w:hint="eastAsia" w:ascii="仿宋" w:hAnsi="仿宋" w:eastAsia="仿宋" w:cs="仿宋"/>
          <w:sz w:val="32"/>
          <w:szCs w:val="32"/>
        </w:rPr>
        <w:t>采购项目</w:t>
      </w:r>
    </w:p>
    <w:p w14:paraId="06711FD8">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（三）交货时间：</w:t>
      </w:r>
      <w:r>
        <w:rPr>
          <w:rFonts w:hint="eastAsia" w:ascii="仿宋" w:hAnsi="仿宋" w:eastAsia="仿宋" w:cs="仿宋"/>
          <w:sz w:val="32"/>
          <w:szCs w:val="32"/>
          <w:highlight w:val="none"/>
        </w:rPr>
        <w:t>合同签订后</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0个日历天到货，安装调试</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天。不能按期交货的，注明工期。</w:t>
      </w:r>
    </w:p>
    <w:p w14:paraId="210E4537">
      <w:pPr>
        <w:spacing w:line="640" w:lineRule="exact"/>
        <w:ind w:firstLine="320" w:firstLineChars="100"/>
        <w:rPr>
          <w:rFonts w:ascii="仿宋" w:hAnsi="仿宋" w:eastAsia="仿宋" w:cs="仿宋"/>
          <w:sz w:val="32"/>
          <w:szCs w:val="32"/>
        </w:rPr>
      </w:pPr>
      <w:r>
        <w:rPr>
          <w:rFonts w:hint="eastAsia" w:ascii="仿宋" w:hAnsi="仿宋" w:eastAsia="仿宋" w:cs="仿宋"/>
          <w:sz w:val="32"/>
          <w:szCs w:val="32"/>
        </w:rPr>
        <w:t>（四）交货地点：采购方指定地点。</w:t>
      </w:r>
    </w:p>
    <w:p w14:paraId="0DC081CC">
      <w:pPr>
        <w:spacing w:line="6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（五）采购货物一览表及需求描述</w:t>
      </w:r>
    </w:p>
    <w:p w14:paraId="1CC382EE">
      <w:pPr>
        <w:spacing w:line="640" w:lineRule="exact"/>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、货物一览表</w:t>
      </w:r>
    </w:p>
    <w:tbl>
      <w:tblPr>
        <w:tblStyle w:val="12"/>
        <w:tblW w:w="82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520"/>
        <w:gridCol w:w="2224"/>
        <w:gridCol w:w="2590"/>
      </w:tblGrid>
      <w:tr w14:paraId="5BBD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0" w:type="dxa"/>
            <w:tcBorders>
              <w:top w:val="single" w:color="auto" w:sz="4" w:space="0"/>
              <w:left w:val="single" w:color="auto" w:sz="4" w:space="0"/>
              <w:bottom w:val="single" w:color="auto" w:sz="4" w:space="0"/>
              <w:right w:val="single" w:color="auto" w:sz="4" w:space="0"/>
            </w:tcBorders>
            <w:vAlign w:val="center"/>
          </w:tcPr>
          <w:p w14:paraId="4F6EA6C3">
            <w:pPr>
              <w:spacing w:line="268"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序号</w:t>
            </w:r>
          </w:p>
        </w:tc>
        <w:tc>
          <w:tcPr>
            <w:tcW w:w="2520" w:type="dxa"/>
            <w:tcBorders>
              <w:top w:val="single" w:color="auto" w:sz="4" w:space="0"/>
              <w:left w:val="single" w:color="auto" w:sz="4" w:space="0"/>
              <w:bottom w:val="single" w:color="auto" w:sz="4" w:space="0"/>
              <w:right w:val="single" w:color="auto" w:sz="4" w:space="0"/>
            </w:tcBorders>
            <w:vAlign w:val="center"/>
          </w:tcPr>
          <w:p w14:paraId="52DC3598">
            <w:pPr>
              <w:spacing w:line="268"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设备名称</w:t>
            </w:r>
          </w:p>
        </w:tc>
        <w:tc>
          <w:tcPr>
            <w:tcW w:w="2224" w:type="dxa"/>
            <w:tcBorders>
              <w:top w:val="single" w:color="auto" w:sz="4" w:space="0"/>
              <w:left w:val="single" w:color="auto" w:sz="4" w:space="0"/>
              <w:bottom w:val="single" w:color="auto" w:sz="4" w:space="0"/>
              <w:right w:val="single" w:color="auto" w:sz="4" w:space="0"/>
            </w:tcBorders>
            <w:vAlign w:val="center"/>
          </w:tcPr>
          <w:p w14:paraId="6A2D07B8">
            <w:pPr>
              <w:spacing w:line="268"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数量</w:t>
            </w:r>
          </w:p>
        </w:tc>
        <w:tc>
          <w:tcPr>
            <w:tcW w:w="2590" w:type="dxa"/>
            <w:tcBorders>
              <w:top w:val="single" w:color="auto" w:sz="4" w:space="0"/>
              <w:left w:val="single" w:color="auto" w:sz="4" w:space="0"/>
              <w:bottom w:val="single" w:color="auto" w:sz="4" w:space="0"/>
              <w:right w:val="single" w:color="auto" w:sz="4" w:space="0"/>
            </w:tcBorders>
            <w:vAlign w:val="center"/>
          </w:tcPr>
          <w:p w14:paraId="29D89C88">
            <w:pPr>
              <w:spacing w:line="268"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交货期</w:t>
            </w:r>
          </w:p>
        </w:tc>
      </w:tr>
      <w:tr w14:paraId="4F0C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vAlign w:val="center"/>
          </w:tcPr>
          <w:p w14:paraId="04E96B9C">
            <w:pPr>
              <w:spacing w:line="268"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2520" w:type="dxa"/>
            <w:tcBorders>
              <w:top w:val="single" w:color="auto" w:sz="4" w:space="0"/>
              <w:left w:val="single" w:color="auto" w:sz="4" w:space="0"/>
              <w:bottom w:val="single" w:color="auto" w:sz="4" w:space="0"/>
              <w:right w:val="single" w:color="auto" w:sz="4" w:space="0"/>
            </w:tcBorders>
            <w:vAlign w:val="center"/>
          </w:tcPr>
          <w:p w14:paraId="6429EE95">
            <w:pPr>
              <w:spacing w:line="640" w:lineRule="exact"/>
              <w:rPr>
                <w:rFonts w:hint="eastAsia" w:ascii="仿宋" w:hAnsi="仿宋" w:eastAsia="仿宋" w:cs="仿宋"/>
                <w:sz w:val="32"/>
                <w:szCs w:val="32"/>
              </w:rPr>
            </w:pPr>
            <w:r>
              <w:rPr>
                <w:rFonts w:hint="eastAsia" w:ascii="仿宋" w:hAnsi="仿宋" w:eastAsia="仿宋" w:cs="仿宋"/>
                <w:sz w:val="32"/>
                <w:szCs w:val="32"/>
                <w:lang w:val="en-US" w:eastAsia="zh-CN"/>
              </w:rPr>
              <w:t>电动单梁起重机</w:t>
            </w:r>
          </w:p>
        </w:tc>
        <w:tc>
          <w:tcPr>
            <w:tcW w:w="2224" w:type="dxa"/>
            <w:tcBorders>
              <w:top w:val="single" w:color="auto" w:sz="4" w:space="0"/>
              <w:left w:val="single" w:color="auto" w:sz="4" w:space="0"/>
              <w:bottom w:val="single" w:color="auto" w:sz="4" w:space="0"/>
              <w:right w:val="single" w:color="auto" w:sz="4" w:space="0"/>
            </w:tcBorders>
            <w:vAlign w:val="center"/>
          </w:tcPr>
          <w:p w14:paraId="64E95DD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1台套</w:t>
            </w:r>
          </w:p>
        </w:tc>
        <w:tc>
          <w:tcPr>
            <w:tcW w:w="2590" w:type="dxa"/>
            <w:tcBorders>
              <w:top w:val="single" w:color="auto" w:sz="4" w:space="0"/>
              <w:left w:val="single" w:color="auto" w:sz="4" w:space="0"/>
              <w:bottom w:val="single" w:color="auto" w:sz="4" w:space="0"/>
              <w:right w:val="single" w:color="auto" w:sz="4" w:space="0"/>
            </w:tcBorders>
            <w:vAlign w:val="center"/>
          </w:tcPr>
          <w:p w14:paraId="35B18BE9">
            <w:pPr>
              <w:spacing w:line="6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合同签订后</w:t>
            </w:r>
            <w:r>
              <w:rPr>
                <w:rFonts w:hint="eastAsia" w:ascii="仿宋" w:hAnsi="仿宋" w:eastAsia="仿宋" w:cs="仿宋"/>
                <w:sz w:val="32"/>
                <w:szCs w:val="32"/>
                <w:lang w:val="en-US" w:eastAsia="zh-CN"/>
              </w:rPr>
              <w:t>20个日历天</w:t>
            </w:r>
            <w:r>
              <w:rPr>
                <w:rFonts w:hint="eastAsia" w:ascii="仿宋" w:hAnsi="仿宋" w:eastAsia="仿宋" w:cs="仿宋"/>
                <w:sz w:val="32"/>
                <w:szCs w:val="32"/>
              </w:rPr>
              <w:t>内交付</w:t>
            </w:r>
          </w:p>
        </w:tc>
      </w:tr>
    </w:tbl>
    <w:p w14:paraId="286CC324">
      <w:pPr>
        <w:overflowPunct w:val="0"/>
        <w:spacing w:line="640" w:lineRule="exact"/>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设计数据：</w:t>
      </w:r>
    </w:p>
    <w:p w14:paraId="2140C388">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（1）额定起重量：5T；</w:t>
      </w:r>
    </w:p>
    <w:p w14:paraId="2513D1CE">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（2）起升高度：24m</w:t>
      </w:r>
    </w:p>
    <w:p w14:paraId="0A0C7D72">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（3）跨度：22.5m</w:t>
      </w:r>
    </w:p>
    <w:p w14:paraId="67D99729">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（4）大车运行速度：20m/min；</w:t>
      </w:r>
    </w:p>
    <w:p w14:paraId="18BAA26B">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（5）小车运行速度：20m/min；</w:t>
      </w:r>
    </w:p>
    <w:p w14:paraId="7C075E67">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（6）小车提升速度：8m/min；</w:t>
      </w:r>
    </w:p>
    <w:p w14:paraId="2710CD10">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（7）工作级别：A5；</w:t>
      </w:r>
    </w:p>
    <w:p w14:paraId="4B7F17A3">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（8）结构形式：单梁、吊钩式；</w:t>
      </w:r>
    </w:p>
    <w:p w14:paraId="7C61CD56">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（9）操作方式：遥控操作，要求遥控器必须为五防遥控器，带急停按钮、带钥匙；</w:t>
      </w:r>
    </w:p>
    <w:p w14:paraId="50368FA2">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3、用途及使用环境：</w:t>
      </w:r>
    </w:p>
    <w:p w14:paraId="7720FA50">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1）银浮选工序检修吊装用；</w:t>
      </w:r>
    </w:p>
    <w:p w14:paraId="16283217">
      <w:pPr>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2）室内安装、无粉尘，有少量蒸汽。</w:t>
      </w:r>
    </w:p>
    <w:p w14:paraId="7096B2B7">
      <w:pPr>
        <w:overflowPunct w:val="0"/>
        <w:spacing w:line="6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 供货范围：</w:t>
      </w:r>
      <w:r>
        <w:rPr>
          <w:rFonts w:hint="eastAsia" w:ascii="仿宋" w:hAnsi="仿宋" w:eastAsia="仿宋" w:cs="仿宋"/>
          <w:sz w:val="32"/>
          <w:szCs w:val="32"/>
          <w:lang w:val="en-US" w:eastAsia="zh-CN"/>
        </w:rPr>
        <w:t>起重机本体、小车滑线（含支架）、控制箱、控制箱至各部件之间的线缆、起重量限制器、高度限位器（两种）、大小车机械行程限位器（聚氨酯防撞块）、大小车电气行程限位（行程开关）。</w:t>
      </w:r>
    </w:p>
    <w:p w14:paraId="7FBA7B38">
      <w:pPr>
        <w:spacing w:line="640" w:lineRule="exact"/>
        <w:jc w:val="left"/>
        <w:rPr>
          <w:rFonts w:ascii="仿宋" w:hAnsi="仿宋" w:eastAsia="仿宋" w:cs="仿宋"/>
          <w:sz w:val="32"/>
          <w:szCs w:val="32"/>
        </w:rPr>
      </w:pPr>
      <w:r>
        <w:rPr>
          <w:rFonts w:hint="eastAsia" w:ascii="仿宋" w:hAnsi="仿宋" w:eastAsia="仿宋" w:cs="仿宋"/>
          <w:sz w:val="32"/>
          <w:szCs w:val="32"/>
        </w:rPr>
        <w:t>（六）质量要求：</w:t>
      </w:r>
    </w:p>
    <w:p w14:paraId="2EDD0F48">
      <w:pPr>
        <w:overflowPunct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1、产品的设计及制造必须严格按照最新行业标准执行，质量符合国标要求。</w:t>
      </w:r>
    </w:p>
    <w:p w14:paraId="79C7C928">
      <w:pPr>
        <w:overflowPunct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2、所供产品必须有合格证、使用说明书、出厂质量检验报告单等，否则按不合格品对待。</w:t>
      </w:r>
    </w:p>
    <w:p w14:paraId="16F46ABC">
      <w:pPr>
        <w:overflowPunct w:val="0"/>
        <w:spacing w:line="640" w:lineRule="exact"/>
        <w:ind w:firstLine="640" w:firstLineChars="200"/>
        <w:rPr>
          <w:rFonts w:ascii="仿宋" w:hAnsi="仿宋" w:eastAsia="仿宋" w:cs="仿宋"/>
          <w:bCs/>
          <w:sz w:val="32"/>
          <w:szCs w:val="32"/>
        </w:rPr>
      </w:pPr>
      <w:r>
        <w:rPr>
          <w:rFonts w:hint="eastAsia" w:ascii="仿宋" w:hAnsi="仿宋" w:eastAsia="仿宋" w:cs="仿宋"/>
          <w:sz w:val="32"/>
          <w:szCs w:val="32"/>
        </w:rPr>
        <w:t>3、质量保证期：质保期壹年，在质保期内出现货物质量问题供方无条件退换，如因货物质量问题给采购人造成损失的，供货方应承担相应的赔偿责任。</w:t>
      </w:r>
    </w:p>
    <w:p w14:paraId="39D5CAE6">
      <w:pPr>
        <w:overflowPunct w:val="0"/>
        <w:adjustRightInd w:val="0"/>
        <w:spacing w:line="640" w:lineRule="exact"/>
        <w:ind w:firstLine="320" w:firstLineChars="100"/>
        <w:rPr>
          <w:rFonts w:hint="eastAsia" w:ascii="仿宋" w:hAnsi="仿宋" w:eastAsia="仿宋" w:cs="仿宋"/>
          <w:bCs/>
          <w:sz w:val="32"/>
          <w:szCs w:val="32"/>
        </w:rPr>
      </w:pPr>
      <w:bookmarkStart w:id="8" w:name="_Toc14688"/>
      <w:bookmarkStart w:id="9" w:name="_Toc29895"/>
      <w:bookmarkStart w:id="10" w:name="_Toc33795778"/>
      <w:bookmarkStart w:id="11" w:name="_Toc14196"/>
      <w:r>
        <w:rPr>
          <w:rFonts w:hint="eastAsia" w:ascii="仿宋" w:hAnsi="仿宋" w:eastAsia="仿宋" w:cs="仿宋"/>
          <w:bCs/>
          <w:sz w:val="32"/>
          <w:szCs w:val="32"/>
        </w:rPr>
        <w:t>（七）运输方式及到达站港和费用负担：汽车运输，包装。运输费用由供方承担，运输车辆应加装符合国家安全管理需要的防火安全设备，如灭火器、防火罩等，否则不得进入采购人厂内。</w:t>
      </w:r>
    </w:p>
    <w:p w14:paraId="57FD71B1">
      <w:pPr>
        <w:overflowPunct w:val="0"/>
        <w:adjustRightInd w:val="0"/>
        <w:spacing w:line="640"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（八）包装标准，包装物的供应及回收：标准包装，包装物不回收。</w:t>
      </w:r>
    </w:p>
    <w:p w14:paraId="7D1B7C9E">
      <w:pPr>
        <w:overflowPunct w:val="0"/>
        <w:adjustRightInd w:val="0"/>
        <w:spacing w:line="640" w:lineRule="exact"/>
        <w:ind w:firstLine="320" w:firstLineChars="100"/>
        <w:rPr>
          <w:rFonts w:hint="eastAsia" w:ascii="仿宋" w:hAnsi="仿宋" w:eastAsia="仿宋" w:cs="仿宋"/>
          <w:sz w:val="32"/>
          <w:szCs w:val="32"/>
        </w:rPr>
      </w:pPr>
      <w:r>
        <w:rPr>
          <w:rFonts w:hint="eastAsia" w:ascii="仿宋" w:hAnsi="仿宋" w:eastAsia="仿宋" w:cs="仿宋"/>
          <w:bCs/>
          <w:sz w:val="32"/>
          <w:szCs w:val="32"/>
        </w:rPr>
        <w:t>（九）验收标准：</w:t>
      </w:r>
      <w:r>
        <w:rPr>
          <w:rFonts w:hint="eastAsia" w:ascii="仿宋" w:hAnsi="仿宋" w:eastAsia="仿宋" w:cs="仿宋"/>
          <w:sz w:val="32"/>
          <w:szCs w:val="32"/>
        </w:rPr>
        <w:t>按合同</w:t>
      </w:r>
      <w:r>
        <w:rPr>
          <w:rFonts w:hint="eastAsia" w:ascii="仿宋" w:hAnsi="仿宋" w:eastAsia="仿宋" w:cs="仿宋"/>
          <w:sz w:val="32"/>
          <w:szCs w:val="32"/>
          <w:lang w:eastAsia="zh-CN"/>
        </w:rPr>
        <w:t>、</w:t>
      </w:r>
      <w:r>
        <w:rPr>
          <w:rFonts w:hint="eastAsia" w:ascii="仿宋" w:hAnsi="仿宋" w:eastAsia="仿宋" w:cs="仿宋"/>
          <w:sz w:val="32"/>
          <w:szCs w:val="32"/>
        </w:rPr>
        <w:t>技术协议</w:t>
      </w:r>
      <w:r>
        <w:rPr>
          <w:rFonts w:hint="eastAsia" w:ascii="仿宋" w:hAnsi="仿宋" w:eastAsia="仿宋" w:cs="仿宋"/>
          <w:sz w:val="32"/>
          <w:szCs w:val="32"/>
          <w:lang w:val="en-US" w:eastAsia="zh-CN"/>
        </w:rPr>
        <w:t>以及</w:t>
      </w:r>
      <w:r>
        <w:rPr>
          <w:rFonts w:hint="eastAsia" w:ascii="仿宋" w:hAnsi="仿宋" w:eastAsia="仿宋" w:cs="仿宋"/>
          <w:bCs/>
          <w:sz w:val="32"/>
          <w:szCs w:val="32"/>
        </w:rPr>
        <w:t>第六款质量标准验收</w:t>
      </w:r>
    </w:p>
    <w:p w14:paraId="417688B3">
      <w:pPr>
        <w:spacing w:line="560" w:lineRule="exact"/>
        <w:ind w:firstLine="320" w:firstLineChars="100"/>
        <w:jc w:val="left"/>
        <w:rPr>
          <w:rFonts w:ascii="仿宋" w:hAnsi="仿宋" w:eastAsia="仿宋" w:cs="仿宋"/>
          <w:sz w:val="24"/>
        </w:rPr>
      </w:pPr>
      <w:r>
        <w:rPr>
          <w:rFonts w:hint="eastAsia" w:ascii="仿宋" w:hAnsi="仿宋" w:eastAsia="仿宋" w:cs="仿宋"/>
          <w:sz w:val="32"/>
          <w:szCs w:val="32"/>
        </w:rPr>
        <w:t>（十）付款方式：合同生效后，</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预付合同总额的30%；货到</w:t>
      </w:r>
      <w:r>
        <w:rPr>
          <w:rFonts w:hint="eastAsia" w:ascii="仿宋" w:hAnsi="仿宋" w:eastAsia="仿宋" w:cs="仿宋"/>
          <w:sz w:val="32"/>
          <w:szCs w:val="32"/>
          <w:lang w:eastAsia="zh-CN"/>
        </w:rPr>
        <w:t>甲方</w:t>
      </w:r>
      <w:r>
        <w:rPr>
          <w:rFonts w:hint="eastAsia" w:ascii="仿宋" w:hAnsi="仿宋" w:eastAsia="仿宋" w:cs="仿宋"/>
          <w:sz w:val="32"/>
          <w:szCs w:val="32"/>
        </w:rPr>
        <w:t>厂内，初步验收合格，</w:t>
      </w:r>
      <w:r>
        <w:rPr>
          <w:rFonts w:hint="eastAsia" w:ascii="仿宋" w:hAnsi="仿宋" w:eastAsia="仿宋" w:cs="仿宋"/>
          <w:sz w:val="32"/>
          <w:szCs w:val="32"/>
          <w:lang w:eastAsia="zh-CN"/>
        </w:rPr>
        <w:t>乙方</w:t>
      </w:r>
      <w:r>
        <w:rPr>
          <w:rFonts w:hint="eastAsia" w:ascii="仿宋" w:hAnsi="仿宋" w:eastAsia="仿宋" w:cs="仿宋"/>
          <w:sz w:val="32"/>
          <w:szCs w:val="32"/>
        </w:rPr>
        <w:t>开具合同总额30%的增值税发票（税率13%），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再付合同总额的30%；安装调试完毕，验收合格后，</w:t>
      </w:r>
      <w:r>
        <w:rPr>
          <w:rFonts w:hint="eastAsia" w:ascii="仿宋" w:hAnsi="仿宋" w:eastAsia="仿宋" w:cs="仿宋"/>
          <w:sz w:val="32"/>
          <w:szCs w:val="32"/>
          <w:lang w:eastAsia="zh-CN"/>
        </w:rPr>
        <w:t>乙方</w:t>
      </w:r>
      <w:r>
        <w:rPr>
          <w:rFonts w:hint="eastAsia" w:ascii="仿宋" w:hAnsi="仿宋" w:eastAsia="仿宋" w:cs="仿宋"/>
          <w:sz w:val="32"/>
          <w:szCs w:val="32"/>
          <w:lang w:val="en-US" w:eastAsia="zh-CN"/>
        </w:rPr>
        <w:t>提供检验机构出具的安装监督检验证书，并</w:t>
      </w:r>
      <w:r>
        <w:rPr>
          <w:rFonts w:hint="eastAsia" w:ascii="仿宋" w:hAnsi="仿宋" w:eastAsia="仿宋" w:cs="仿宋"/>
          <w:sz w:val="32"/>
          <w:szCs w:val="32"/>
        </w:rPr>
        <w:t>开具合同总额40%的增值税发票（税率13%），</w:t>
      </w:r>
      <w:r>
        <w:rPr>
          <w:rFonts w:hint="eastAsia" w:ascii="仿宋" w:hAnsi="仿宋" w:eastAsia="仿宋" w:cs="仿宋"/>
          <w:sz w:val="32"/>
          <w:szCs w:val="32"/>
          <w:lang w:eastAsia="zh-CN"/>
        </w:rPr>
        <w:t>甲方</w:t>
      </w:r>
      <w:r>
        <w:rPr>
          <w:rFonts w:hint="eastAsia" w:ascii="仿宋" w:hAnsi="仿宋" w:eastAsia="仿宋" w:cs="仿宋"/>
          <w:sz w:val="32"/>
          <w:szCs w:val="32"/>
        </w:rPr>
        <w:t>再付合同总额的30%；留10%作为质保金，质保期满无质量问题需方一次付清。</w:t>
      </w:r>
      <w:r>
        <w:rPr>
          <w:rFonts w:hint="eastAsia" w:ascii="仿宋" w:hAnsi="仿宋" w:eastAsia="仿宋" w:cs="仿宋"/>
          <w:b/>
          <w:bCs/>
          <w:sz w:val="32"/>
          <w:szCs w:val="32"/>
          <w:lang w:eastAsia="zh-CN"/>
        </w:rPr>
        <w:t>乙方</w:t>
      </w:r>
      <w:r>
        <w:rPr>
          <w:rFonts w:hint="eastAsia" w:ascii="仿宋" w:hAnsi="仿宋" w:eastAsia="仿宋" w:cs="仿宋"/>
          <w:b/>
          <w:bCs/>
          <w:sz w:val="32"/>
          <w:szCs w:val="32"/>
        </w:rPr>
        <w:t>可按付款进度开具发票，也可一次性开具全额发票。</w:t>
      </w:r>
    </w:p>
    <w:p w14:paraId="03A7A7D6">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（十一）供应商资格和履约能力要求</w:t>
      </w:r>
      <w:bookmarkEnd w:id="8"/>
      <w:bookmarkEnd w:id="9"/>
      <w:bookmarkEnd w:id="10"/>
      <w:bookmarkEnd w:id="11"/>
      <w:r>
        <w:rPr>
          <w:rFonts w:hint="eastAsia" w:ascii="仿宋" w:hAnsi="仿宋" w:eastAsia="仿宋" w:cs="仿宋"/>
          <w:sz w:val="32"/>
          <w:szCs w:val="32"/>
        </w:rPr>
        <w:t>：</w:t>
      </w:r>
    </w:p>
    <w:p w14:paraId="5EF9E737">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1.资质要求：</w:t>
      </w:r>
    </w:p>
    <w:p w14:paraId="7FBE48E8">
      <w:pPr>
        <w:overflowPunct w:val="0"/>
        <w:spacing w:line="560" w:lineRule="exact"/>
        <w:ind w:firstLine="320" w:firstLineChars="100"/>
        <w:rPr>
          <w:rFonts w:ascii="仿宋" w:hAnsi="仿宋" w:eastAsia="仿宋" w:cs="仿宋"/>
          <w:color w:val="000000"/>
          <w:sz w:val="32"/>
          <w:szCs w:val="32"/>
        </w:rPr>
      </w:pPr>
      <w:r>
        <w:rPr>
          <w:rFonts w:hint="eastAsia" w:ascii="仿宋" w:hAnsi="仿宋" w:eastAsia="仿宋" w:cs="仿宋"/>
          <w:sz w:val="32"/>
          <w:szCs w:val="32"/>
        </w:rPr>
        <w:t>（1）供应商须为中华人民共和国境内依法注册的法人或者其他组织，有能力完成本项目的厂家，具备合法的营业执照</w:t>
      </w:r>
      <w:r>
        <w:rPr>
          <w:rFonts w:hint="eastAsia" w:ascii="仿宋" w:hAnsi="仿宋" w:eastAsia="仿宋" w:cs="仿宋"/>
          <w:color w:val="000000"/>
          <w:sz w:val="32"/>
          <w:szCs w:val="32"/>
        </w:rPr>
        <w:t>。</w:t>
      </w:r>
    </w:p>
    <w:p w14:paraId="3F35F634">
      <w:pPr>
        <w:overflowPunct w:val="0"/>
        <w:spacing w:line="560" w:lineRule="exact"/>
        <w:ind w:firstLine="320" w:firstLineChars="100"/>
        <w:rPr>
          <w:rFonts w:hint="eastAsia"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lang w:eastAsia="zh-CN"/>
        </w:rPr>
        <w:t>提供有效的《中华人民共和国特种设备生产许可证》起重机械制造（含安装、修理、改造）桥式、门式起重机B级及以上。</w:t>
      </w:r>
    </w:p>
    <w:p w14:paraId="47676A96">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2.信用要求：</w:t>
      </w:r>
    </w:p>
    <w:p w14:paraId="1D0F5C1C">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（1）供应商具有良好的银行资信和商业信誉，没有处于被责令停业、财产被接管、冻结、破产状态（附承诺书）；</w:t>
      </w:r>
    </w:p>
    <w:p w14:paraId="668A1E55">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（2）供应商不得在“信用中国-中国执行信息公开网”被列为失信被执行人；</w:t>
      </w:r>
    </w:p>
    <w:p w14:paraId="2C5D7094">
      <w:pPr>
        <w:overflowPunct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3.业绩要求：供应商202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月至今具有类似业绩（提供合同复印件，时间以合同签订时间为准），不少于</w:t>
      </w:r>
      <w:r>
        <w:rPr>
          <w:rFonts w:hint="eastAsia" w:ascii="仿宋" w:hAnsi="仿宋" w:eastAsia="仿宋" w:cs="仿宋"/>
          <w:sz w:val="32"/>
          <w:szCs w:val="32"/>
          <w:lang w:val="en-US" w:eastAsia="zh-CN"/>
        </w:rPr>
        <w:t>3</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未提供业绩的（即0份类似业绩），否决其响应文件。</w:t>
      </w:r>
    </w:p>
    <w:p w14:paraId="7D923B13">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4.联合体响应：本项目不接受联合体响应。</w:t>
      </w:r>
    </w:p>
    <w:p w14:paraId="1E3FDD0E">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5.其他要求：</w:t>
      </w:r>
    </w:p>
    <w:p w14:paraId="07308CE9">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供应商不得存在下列情形之一：</w:t>
      </w:r>
    </w:p>
    <w:p w14:paraId="466BB680">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（1）与采购人存在利害关系可能影响询比采购公正性；</w:t>
      </w:r>
    </w:p>
    <w:p w14:paraId="74083F28">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（2）法定代表人（单位负责人）为同一人或者存在控股、管理关系的不同法人或其他组织同时参加询比采购；</w:t>
      </w:r>
    </w:p>
    <w:p w14:paraId="6FEFEC39">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（3）被依法暂停或者取消询比采购资格； </w:t>
      </w:r>
    </w:p>
    <w:p w14:paraId="580D1E16">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（4）被责令停产停业、暂扣或者吊销许可证、暂扣或者吊销执照；</w:t>
      </w:r>
    </w:p>
    <w:p w14:paraId="16FE16A4">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（5）进入清算程序，或被宣告破产，或其他丧失履约能力的情形；</w:t>
      </w:r>
    </w:p>
    <w:p w14:paraId="02ACC90B">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（6）在最近三年内发生重大产品质量问题；</w:t>
      </w:r>
    </w:p>
    <w:p w14:paraId="596553F4">
      <w:pPr>
        <w:overflowPunct w:val="0"/>
        <w:spacing w:line="560" w:lineRule="exact"/>
        <w:ind w:firstLine="320" w:firstLineChars="100"/>
        <w:rPr>
          <w:rFonts w:ascii="微软雅黑" w:hAnsi="微软雅黑" w:eastAsia="微软雅黑" w:cs="微软雅黑"/>
          <w:color w:val="000000"/>
          <w:sz w:val="27"/>
          <w:szCs w:val="27"/>
        </w:rPr>
      </w:pPr>
      <w:r>
        <w:rPr>
          <w:rFonts w:hint="eastAsia" w:ascii="仿宋" w:hAnsi="仿宋" w:eastAsia="仿宋" w:cs="仿宋"/>
          <w:sz w:val="32"/>
          <w:szCs w:val="32"/>
        </w:rPr>
        <w:t>（7）法律法规规定的其他情形。</w:t>
      </w:r>
    </w:p>
    <w:p w14:paraId="244024BA">
      <w:pPr>
        <w:overflowPunct w:val="0"/>
        <w:spacing w:line="560" w:lineRule="exact"/>
        <w:ind w:firstLine="321" w:firstLineChars="100"/>
        <w:rPr>
          <w:rFonts w:ascii="仿宋" w:hAnsi="仿宋" w:eastAsia="仿宋" w:cs="仿宋"/>
          <w:sz w:val="32"/>
          <w:szCs w:val="32"/>
        </w:rPr>
      </w:pPr>
      <w:r>
        <w:rPr>
          <w:rFonts w:hint="eastAsia" w:ascii="仿宋" w:hAnsi="仿宋" w:eastAsia="仿宋" w:cs="仿宋"/>
          <w:b/>
          <w:bCs/>
          <w:sz w:val="32"/>
          <w:szCs w:val="32"/>
        </w:rPr>
        <w:t>二、询比采购文件的获取</w:t>
      </w:r>
    </w:p>
    <w:p w14:paraId="6355AE6D">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询比采购文件在陕西锌业有限公司网络询比采购平台（www.sxxyjjpt.com）发布，符合条件的供应商可自行下载采购文件。</w:t>
      </w:r>
    </w:p>
    <w:p w14:paraId="4C25E573">
      <w:pPr>
        <w:overflowPunct w:val="0"/>
        <w:spacing w:line="560" w:lineRule="exact"/>
        <w:ind w:firstLine="321" w:firstLineChars="100"/>
        <w:rPr>
          <w:rFonts w:ascii="仿宋" w:hAnsi="仿宋" w:eastAsia="仿宋" w:cs="仿宋"/>
          <w:b/>
          <w:bCs/>
          <w:sz w:val="32"/>
          <w:szCs w:val="32"/>
        </w:rPr>
      </w:pPr>
      <w:r>
        <w:rPr>
          <w:rFonts w:hint="eastAsia" w:ascii="仿宋" w:hAnsi="仿宋" w:eastAsia="仿宋" w:cs="仿宋"/>
          <w:b/>
          <w:bCs/>
          <w:sz w:val="32"/>
          <w:szCs w:val="32"/>
        </w:rPr>
        <w:t>三、供应商响应</w:t>
      </w:r>
    </w:p>
    <w:p w14:paraId="685CFC19">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 xml:space="preserve">   （一）响应报价</w:t>
      </w:r>
    </w:p>
    <w:p w14:paraId="3B36FAFE">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1.供应商应按“响应文件格式”要求在响应函中进行报价并填写响应文件的分项报价表。</w:t>
      </w:r>
    </w:p>
    <w:p w14:paraId="3020292F">
      <w:pPr>
        <w:pStyle w:val="8"/>
        <w:overflowPunct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2.报价包括设计费、制造费、运输费、税费、指导安装调试费以及采购人指定地点全包价。该价款不因原料、材料、劳务、能源等市场价格的变动而变动。</w:t>
      </w:r>
    </w:p>
    <w:p w14:paraId="18545178">
      <w:pPr>
        <w:pStyle w:val="8"/>
        <w:overflowPunct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3.供应商在响应文件递交截止时间前修改响应函中的响应报价总额，应同时修</w:t>
      </w:r>
      <w:bookmarkStart w:id="12" w:name="_Toc300834963"/>
      <w:bookmarkStart w:id="13" w:name="_Toc152045542"/>
      <w:bookmarkStart w:id="14" w:name="_Toc25772"/>
      <w:bookmarkStart w:id="15" w:name="_Toc361508598"/>
      <w:bookmarkStart w:id="16" w:name="_Toc152042318"/>
      <w:bookmarkStart w:id="17" w:name="_Toc247513966"/>
      <w:bookmarkStart w:id="18" w:name="_Toc144974510"/>
      <w:bookmarkStart w:id="19" w:name="_Toc352691486"/>
      <w:bookmarkStart w:id="20" w:name="_Toc247527567"/>
      <w:bookmarkStart w:id="21" w:name="_Toc384308223"/>
      <w:bookmarkStart w:id="22" w:name="_Toc369531529"/>
      <w:r>
        <w:rPr>
          <w:rFonts w:hint="eastAsia" w:ascii="仿宋" w:hAnsi="仿宋" w:eastAsia="仿宋" w:cs="仿宋"/>
          <w:sz w:val="32"/>
          <w:szCs w:val="32"/>
        </w:rPr>
        <w:t>改响应文件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52691487"/>
      <w:bookmarkStart w:id="25" w:name="_Toc247513967"/>
      <w:bookmarkStart w:id="26" w:name="_Toc361508599"/>
      <w:bookmarkStart w:id="27" w:name="_Toc369531530"/>
      <w:bookmarkStart w:id="28" w:name="_Toc152042319"/>
      <w:bookmarkStart w:id="29" w:name="_Toc152045543"/>
      <w:bookmarkStart w:id="30" w:name="_Toc15242"/>
      <w:bookmarkStart w:id="31" w:name="_Toc144974511"/>
      <w:bookmarkStart w:id="32" w:name="_Toc384308224"/>
      <w:bookmarkStart w:id="33" w:name="_Toc300834964"/>
      <w:r>
        <w:rPr>
          <w:rFonts w:hint="eastAsia" w:ascii="仿宋" w:hAnsi="仿宋" w:eastAsia="仿宋" w:cs="仿宋"/>
          <w:sz w:val="32"/>
          <w:szCs w:val="32"/>
        </w:rPr>
        <w:t>“分项报价表”中的相应报价。</w:t>
      </w:r>
      <w:bookmarkEnd w:id="23"/>
      <w:bookmarkEnd w:id="24"/>
      <w:bookmarkEnd w:id="25"/>
      <w:bookmarkEnd w:id="26"/>
      <w:bookmarkEnd w:id="27"/>
      <w:bookmarkEnd w:id="28"/>
      <w:bookmarkEnd w:id="29"/>
      <w:bookmarkEnd w:id="30"/>
      <w:bookmarkEnd w:id="31"/>
      <w:bookmarkEnd w:id="32"/>
      <w:bookmarkEnd w:id="33"/>
    </w:p>
    <w:p w14:paraId="69904D06">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4.响应报价为各分项报价金额之和，响应报价与分项报价的合价不一致的，应以各分项合价累计数为准，修正响应报价。</w:t>
      </w:r>
    </w:p>
    <w:p w14:paraId="71898227">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5.成交供应商的响应报价是成交、签订合同及合同执行过程中的依据，不得进行实质性变动。</w:t>
      </w:r>
    </w:p>
    <w:p w14:paraId="76797931">
      <w:pPr>
        <w:pStyle w:val="6"/>
        <w:keepNext w:val="0"/>
        <w:keepLines w:val="0"/>
        <w:overflowPunct w:val="0"/>
        <w:spacing w:before="0" w:after="0" w:line="560" w:lineRule="exact"/>
        <w:ind w:firstLine="320" w:firstLineChars="100"/>
        <w:rPr>
          <w:rFonts w:ascii="仿宋" w:hAnsi="仿宋" w:eastAsia="仿宋" w:cs="仿宋"/>
          <w:sz w:val="32"/>
          <w:szCs w:val="32"/>
        </w:rPr>
      </w:pPr>
      <w:r>
        <w:rPr>
          <w:rFonts w:hint="eastAsia" w:ascii="仿宋" w:hAnsi="仿宋" w:eastAsia="仿宋" w:cs="仿宋"/>
          <w:sz w:val="32"/>
          <w:szCs w:val="32"/>
        </w:rPr>
        <w:t>（二）响应有效期</w:t>
      </w:r>
    </w:p>
    <w:p w14:paraId="1E5228DB">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1.响应有效期从提交响应文件截止之日起算60天。</w:t>
      </w:r>
    </w:p>
    <w:p w14:paraId="1C2E8A78">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2.在响应有效期内，供应商撤销响应文件的，应承担询比采购文件和法律规定的责任。</w:t>
      </w:r>
    </w:p>
    <w:p w14:paraId="513C2601">
      <w:pPr>
        <w:pStyle w:val="6"/>
        <w:keepNext w:val="0"/>
        <w:keepLines w:val="0"/>
        <w:overflowPunct w:val="0"/>
        <w:spacing w:before="0" w:after="0" w:line="560" w:lineRule="exact"/>
        <w:ind w:firstLine="320" w:firstLineChars="100"/>
        <w:rPr>
          <w:rFonts w:ascii="仿宋" w:hAnsi="仿宋" w:eastAsia="仿宋" w:cs="仿宋"/>
          <w:sz w:val="32"/>
          <w:szCs w:val="32"/>
        </w:rPr>
      </w:pPr>
      <w:r>
        <w:rPr>
          <w:rFonts w:hint="eastAsia" w:ascii="仿宋" w:hAnsi="仿宋" w:eastAsia="仿宋" w:cs="仿宋"/>
          <w:sz w:val="32"/>
          <w:szCs w:val="32"/>
        </w:rPr>
        <w:t>（三）响应保证金</w:t>
      </w:r>
    </w:p>
    <w:p w14:paraId="03A8983D">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1.供应商在递交响应文件的同时，应按规定的响应保证金格式递交响应保证金</w:t>
      </w:r>
      <w:r>
        <w:rPr>
          <w:rFonts w:hint="eastAsia" w:ascii="仿宋" w:hAnsi="仿宋" w:eastAsia="仿宋" w:cs="仿宋"/>
          <w:sz w:val="32"/>
          <w:szCs w:val="32"/>
          <w:lang w:val="en-US" w:eastAsia="zh-CN"/>
        </w:rPr>
        <w:t>0.5</w:t>
      </w:r>
      <w:r>
        <w:rPr>
          <w:rFonts w:hint="eastAsia" w:ascii="仿宋" w:hAnsi="仿宋" w:eastAsia="仿宋" w:cs="仿宋"/>
          <w:sz w:val="32"/>
          <w:szCs w:val="32"/>
        </w:rPr>
        <w:t>万元，并作为其响应文件的组成部分。</w:t>
      </w:r>
    </w:p>
    <w:p w14:paraId="68E77B03">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保证金支付账户如下：</w:t>
      </w:r>
    </w:p>
    <w:p w14:paraId="6FE750BD">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收款人：陕西锌业有限公司</w:t>
      </w:r>
    </w:p>
    <w:p w14:paraId="0EB40408">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账号：26805701040010332</w:t>
      </w:r>
    </w:p>
    <w:p w14:paraId="00EF95D8">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开户行：中国农业银行商洛商州区支行</w:t>
      </w:r>
    </w:p>
    <w:p w14:paraId="400A14FF">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2.响应保证金的形式：转账、保函、支票、与采购人签订保证金协议等任何一种。供应商以转账或者支票形式提交的响应保证金，应当由供应商账户转出。</w:t>
      </w:r>
    </w:p>
    <w:p w14:paraId="6C3C78FD">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3.响应保证金必须在响应文件递交截止时间前到达指定帐户。以保函形式缴纳保证金其保函须由银行或具有出具保函资格的单位出具，并于响应文件的开启现场递交保函原件，响应文件中附保函复印件。</w:t>
      </w:r>
    </w:p>
    <w:p w14:paraId="725F9BB8">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4.响应保证金有效期与响应有效期一致。</w:t>
      </w:r>
    </w:p>
    <w:p w14:paraId="61DAA302">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5.供应商不按</w:t>
      </w:r>
      <w:bookmarkStart w:id="34" w:name="_Toc352691490"/>
      <w:bookmarkStart w:id="35" w:name="_Toc369531533"/>
      <w:bookmarkStart w:id="36" w:name="_Toc361508602"/>
      <w:bookmarkStart w:id="37" w:name="_Toc29025"/>
      <w:bookmarkStart w:id="38" w:name="_Toc384308227"/>
      <w:r>
        <w:rPr>
          <w:rFonts w:hint="eastAsia" w:ascii="仿宋" w:hAnsi="仿宋" w:eastAsia="仿宋" w:cs="仿宋"/>
          <w:sz w:val="32"/>
          <w:szCs w:val="32"/>
        </w:rPr>
        <w:t>前述要求提交响应保证金的，</w:t>
      </w:r>
      <w:bookmarkEnd w:id="34"/>
      <w:bookmarkEnd w:id="35"/>
      <w:bookmarkEnd w:id="36"/>
      <w:bookmarkEnd w:id="37"/>
      <w:bookmarkEnd w:id="38"/>
      <w:r>
        <w:rPr>
          <w:rFonts w:hint="eastAsia" w:ascii="仿宋" w:hAnsi="仿宋" w:eastAsia="仿宋" w:cs="仿宋"/>
          <w:sz w:val="32"/>
          <w:szCs w:val="32"/>
        </w:rPr>
        <w:t>评审小组将否决其响应文件。</w:t>
      </w:r>
    </w:p>
    <w:p w14:paraId="23E02362">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6.采购人最迟应当在与成交人</w:t>
      </w:r>
      <w:bookmarkStart w:id="39" w:name="_Toc384308228"/>
      <w:bookmarkStart w:id="40" w:name="_Toc152045546"/>
      <w:bookmarkStart w:id="41" w:name="_Toc369531534"/>
      <w:bookmarkStart w:id="42" w:name="_Toc300834967"/>
      <w:bookmarkStart w:id="43" w:name="_Toc247527571"/>
      <w:bookmarkStart w:id="44" w:name="_Toc247513970"/>
      <w:bookmarkStart w:id="45" w:name="_Toc361508603"/>
      <w:bookmarkStart w:id="46" w:name="_Toc352691491"/>
      <w:bookmarkStart w:id="47" w:name="_Toc14751"/>
      <w:bookmarkStart w:id="48" w:name="_Toc144974514"/>
      <w:bookmarkStart w:id="49" w:name="_Toc152042322"/>
      <w:r>
        <w:rPr>
          <w:rFonts w:hint="eastAsia" w:ascii="仿宋" w:hAnsi="仿宋" w:eastAsia="仿宋" w:cs="仿宋"/>
          <w:sz w:val="32"/>
          <w:szCs w:val="32"/>
        </w:rPr>
        <w:t>签订合同后7日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32"/>
          <w:szCs w:val="32"/>
        </w:rPr>
        <w:t>内</w:t>
      </w:r>
      <w:bookmarkStart w:id="50" w:name="_Toc17952"/>
      <w:bookmarkStart w:id="51" w:name="_Toc369531535"/>
      <w:bookmarkStart w:id="52" w:name="_Toc152045547"/>
      <w:bookmarkStart w:id="53" w:name="_Toc152042323"/>
      <w:bookmarkStart w:id="54" w:name="_Toc384308229"/>
      <w:bookmarkStart w:id="55" w:name="_Toc247527572"/>
      <w:bookmarkStart w:id="56" w:name="_Toc361508604"/>
      <w:bookmarkStart w:id="57" w:name="_Toc144974515"/>
      <w:bookmarkStart w:id="58" w:name="_Toc300834968"/>
      <w:bookmarkStart w:id="59" w:name="_Toc247513971"/>
      <w:bookmarkStart w:id="60" w:name="_Toc352691492"/>
      <w:r>
        <w:rPr>
          <w:rFonts w:hint="eastAsia" w:ascii="仿宋" w:hAnsi="仿宋" w:eastAsia="仿宋" w:cs="仿宋"/>
          <w:sz w:val="32"/>
          <w:szCs w:val="32"/>
        </w:rPr>
        <w:t>，向未成交的供应商和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sz w:val="32"/>
          <w:szCs w:val="32"/>
        </w:rPr>
        <w:t>成交人无息退还响应保证金。</w:t>
      </w:r>
    </w:p>
    <w:p w14:paraId="1BA18A44">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7.有下列情形之一的，响应保证金将不予退还：</w:t>
      </w:r>
    </w:p>
    <w:p w14:paraId="225B039D">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（1）供应商在响应有效期内撤销响应文件；</w:t>
      </w:r>
    </w:p>
    <w:p w14:paraId="308EFE85">
      <w:pPr>
        <w:overflowPunct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（2）成交人在收到成交通知后，成交人放弃成交项目的，无正当理由不与采购人订立合同的，在签订合同时向采购人提出附加条件或者更改合同实质性内容的。</w:t>
      </w:r>
    </w:p>
    <w:p w14:paraId="03D4191C">
      <w:pPr>
        <w:pStyle w:val="6"/>
        <w:keepNext w:val="0"/>
        <w:keepLines w:val="0"/>
        <w:overflowPunct w:val="0"/>
        <w:spacing w:before="0" w:after="0" w:line="560" w:lineRule="exact"/>
        <w:ind w:firstLine="320" w:firstLineChars="100"/>
        <w:rPr>
          <w:rFonts w:ascii="仿宋" w:hAnsi="仿宋" w:eastAsia="仿宋" w:cs="仿宋"/>
          <w:sz w:val="32"/>
          <w:szCs w:val="32"/>
        </w:rPr>
      </w:pPr>
      <w:bookmarkStart w:id="61" w:name="_Toc24514"/>
      <w:bookmarkStart w:id="62" w:name="_Toc21871"/>
      <w:bookmarkStart w:id="63" w:name="_Toc28216"/>
      <w:bookmarkStart w:id="64" w:name="_Toc33795794"/>
      <w:r>
        <w:rPr>
          <w:rFonts w:hint="eastAsia" w:ascii="仿宋" w:hAnsi="仿宋" w:eastAsia="仿宋" w:cs="仿宋"/>
          <w:sz w:val="32"/>
          <w:szCs w:val="32"/>
        </w:rPr>
        <w:t>（四）资格审查资料</w:t>
      </w:r>
      <w:bookmarkEnd w:id="61"/>
      <w:bookmarkEnd w:id="62"/>
      <w:bookmarkEnd w:id="63"/>
      <w:bookmarkEnd w:id="64"/>
    </w:p>
    <w:p w14:paraId="04D97B72">
      <w:pPr>
        <w:pStyle w:val="6"/>
        <w:keepNext w:val="0"/>
        <w:keepLines w:val="0"/>
        <w:overflowPunct w:val="0"/>
        <w:spacing w:before="0" w:after="0" w:line="560" w:lineRule="exact"/>
        <w:ind w:firstLine="640" w:firstLineChars="200"/>
        <w:rPr>
          <w:rFonts w:ascii="仿宋" w:hAnsi="仿宋" w:eastAsia="仿宋" w:cs="仿宋"/>
          <w:sz w:val="32"/>
          <w:szCs w:val="32"/>
        </w:rPr>
      </w:pPr>
      <w:r>
        <w:rPr>
          <w:rFonts w:hint="eastAsia" w:ascii="仿宋" w:hAnsi="仿宋" w:eastAsia="仿宋" w:cs="仿宋"/>
          <w:sz w:val="32"/>
          <w:szCs w:val="32"/>
        </w:rPr>
        <w:t>供应商应按下列规定提供相关的证明材料，以证明其满足资质、财务、业绩、信誉要求。</w:t>
      </w:r>
    </w:p>
    <w:p w14:paraId="0F96E971">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2.“近三年完成的类似项目情况表”应附从2022年</w:t>
      </w:r>
      <w:r>
        <w:rPr>
          <w:rFonts w:hint="eastAsia" w:ascii="仿宋" w:hAnsi="仿宋" w:eastAsia="仿宋" w:cs="仿宋"/>
          <w:sz w:val="32"/>
          <w:szCs w:val="32"/>
          <w:lang w:val="en-US" w:eastAsia="zh-CN"/>
        </w:rPr>
        <w:t>8</w:t>
      </w:r>
      <w:r>
        <w:rPr>
          <w:rFonts w:hint="eastAsia" w:ascii="仿宋" w:hAnsi="仿宋" w:eastAsia="仿宋" w:cs="仿宋"/>
          <w:sz w:val="32"/>
          <w:szCs w:val="32"/>
        </w:rPr>
        <w:t>月至今的合同复印件。</w:t>
      </w:r>
    </w:p>
    <w:p w14:paraId="2FC786A3">
      <w:pPr>
        <w:overflowPunct w:val="0"/>
        <w:spacing w:line="560" w:lineRule="exact"/>
        <w:ind w:firstLine="640" w:firstLineChars="200"/>
        <w:rPr>
          <w:rFonts w:ascii="微软雅黑" w:hAnsi="微软雅黑" w:eastAsia="微软雅黑" w:cs="微软雅黑"/>
          <w:color w:val="000000"/>
          <w:sz w:val="27"/>
          <w:szCs w:val="27"/>
        </w:rPr>
      </w:pPr>
      <w:r>
        <w:rPr>
          <w:rFonts w:hint="eastAsia" w:ascii="仿宋" w:hAnsi="仿宋" w:eastAsia="仿宋" w:cs="仿宋"/>
          <w:sz w:val="32"/>
          <w:szCs w:val="32"/>
        </w:rPr>
        <w:t>3.“近年发生的诉讼及仲裁情况”应说明相关情况。</w:t>
      </w:r>
    </w:p>
    <w:p w14:paraId="0B0014CE">
      <w:pPr>
        <w:pStyle w:val="17"/>
        <w:spacing w:before="0" w:after="0" w:line="560" w:lineRule="exact"/>
        <w:ind w:firstLine="647" w:firstLineChars="200"/>
        <w:rPr>
          <w:rFonts w:ascii="仿宋" w:hAnsi="仿宋" w:eastAsia="仿宋" w:cs="仿宋"/>
          <w:b/>
          <w:bCs/>
          <w:spacing w:val="1"/>
          <w:sz w:val="32"/>
          <w:szCs w:val="32"/>
          <w:lang w:eastAsia="zh-CN"/>
        </w:rPr>
      </w:pPr>
      <w:r>
        <w:rPr>
          <w:rFonts w:hint="eastAsia" w:ascii="仿宋" w:hAnsi="仿宋" w:eastAsia="仿宋" w:cs="仿宋"/>
          <w:b/>
          <w:bCs/>
          <w:spacing w:val="1"/>
          <w:sz w:val="32"/>
          <w:szCs w:val="32"/>
          <w:lang w:eastAsia="zh-CN"/>
        </w:rPr>
        <w:t>四、响应文件的提交</w:t>
      </w:r>
    </w:p>
    <w:p w14:paraId="54410485">
      <w:pPr>
        <w:pStyle w:val="17"/>
        <w:spacing w:before="0" w:after="0" w:line="560" w:lineRule="exact"/>
        <w:ind w:firstLine="644" w:firstLineChars="200"/>
        <w:rPr>
          <w:rFonts w:ascii="仿宋" w:hAnsi="仿宋" w:eastAsia="仿宋" w:cs="仿宋"/>
          <w:spacing w:val="1"/>
          <w:sz w:val="32"/>
          <w:szCs w:val="32"/>
          <w:lang w:eastAsia="zh-CN"/>
        </w:rPr>
      </w:pPr>
      <w:r>
        <w:rPr>
          <w:rFonts w:hint="eastAsia" w:ascii="仿宋" w:hAnsi="仿宋" w:eastAsia="仿宋" w:cs="仿宋"/>
          <w:spacing w:val="1"/>
          <w:sz w:val="32"/>
          <w:szCs w:val="32"/>
          <w:lang w:eastAsia="zh-CN"/>
        </w:rPr>
        <w:t>（一）响应文件提交截止时间：202</w:t>
      </w:r>
      <w:r>
        <w:rPr>
          <w:rFonts w:hint="eastAsia" w:ascii="仿宋" w:hAnsi="仿宋" w:eastAsia="仿宋" w:cs="仿宋"/>
          <w:spacing w:val="1"/>
          <w:sz w:val="32"/>
          <w:szCs w:val="32"/>
          <w:lang w:val="en-US" w:eastAsia="zh-CN"/>
        </w:rPr>
        <w:t>6</w:t>
      </w:r>
      <w:r>
        <w:rPr>
          <w:rFonts w:hint="eastAsia" w:ascii="仿宋" w:hAnsi="仿宋" w:eastAsia="仿宋" w:cs="仿宋"/>
          <w:spacing w:val="1"/>
          <w:sz w:val="32"/>
          <w:szCs w:val="32"/>
          <w:lang w:eastAsia="zh-CN"/>
        </w:rPr>
        <w:t>年</w:t>
      </w:r>
      <w:r>
        <w:rPr>
          <w:rFonts w:hint="eastAsia" w:ascii="仿宋" w:hAnsi="仿宋" w:eastAsia="仿宋" w:cs="仿宋"/>
          <w:spacing w:val="1"/>
          <w:sz w:val="32"/>
          <w:szCs w:val="32"/>
          <w:lang w:val="en-US" w:eastAsia="zh-CN"/>
        </w:rPr>
        <w:t xml:space="preserve"> 3</w:t>
      </w:r>
      <w:r>
        <w:rPr>
          <w:rFonts w:hint="eastAsia" w:ascii="仿宋" w:hAnsi="仿宋" w:eastAsia="仿宋" w:cs="仿宋"/>
          <w:spacing w:val="1"/>
          <w:sz w:val="32"/>
          <w:szCs w:val="32"/>
          <w:lang w:eastAsia="zh-CN"/>
        </w:rPr>
        <w:t>月</w:t>
      </w:r>
      <w:r>
        <w:rPr>
          <w:rFonts w:hint="eastAsia" w:ascii="仿宋" w:hAnsi="仿宋" w:eastAsia="仿宋" w:cs="仿宋"/>
          <w:spacing w:val="1"/>
          <w:sz w:val="32"/>
          <w:szCs w:val="32"/>
          <w:lang w:val="en-US" w:eastAsia="zh-CN"/>
        </w:rPr>
        <w:t>9</w:t>
      </w:r>
      <w:bookmarkStart w:id="142" w:name="_GoBack"/>
      <w:bookmarkEnd w:id="142"/>
      <w:r>
        <w:rPr>
          <w:rFonts w:hint="eastAsia" w:ascii="仿宋" w:hAnsi="仿宋" w:eastAsia="仿宋" w:cs="仿宋"/>
          <w:spacing w:val="1"/>
          <w:sz w:val="32"/>
          <w:szCs w:val="32"/>
          <w:lang w:eastAsia="zh-CN"/>
        </w:rPr>
        <w:t>日11时0分（北京时间）；</w:t>
      </w:r>
    </w:p>
    <w:p w14:paraId="5743FE52">
      <w:pPr>
        <w:pStyle w:val="17"/>
        <w:spacing w:before="0" w:after="0" w:line="560" w:lineRule="exact"/>
        <w:ind w:firstLine="644" w:firstLineChars="200"/>
        <w:rPr>
          <w:rFonts w:ascii="仿宋" w:hAnsi="仿宋" w:eastAsia="仿宋" w:cs="仿宋"/>
          <w:sz w:val="32"/>
          <w:szCs w:val="32"/>
          <w:lang w:eastAsia="zh-CN"/>
        </w:rPr>
      </w:pPr>
      <w:r>
        <w:rPr>
          <w:rFonts w:hint="eastAsia" w:ascii="仿宋" w:hAnsi="仿宋" w:eastAsia="仿宋" w:cs="仿宋"/>
          <w:spacing w:val="1"/>
          <w:sz w:val="32"/>
          <w:szCs w:val="32"/>
          <w:lang w:eastAsia="zh-CN"/>
        </w:rPr>
        <w:t>（二）提交方法：</w:t>
      </w:r>
      <w:r>
        <w:rPr>
          <w:rFonts w:hint="eastAsia" w:ascii="仿宋" w:hAnsi="仿宋" w:eastAsia="仿宋" w:cs="仿宋"/>
          <w:sz w:val="32"/>
          <w:szCs w:val="32"/>
          <w:lang w:eastAsia="zh-CN"/>
        </w:rPr>
        <w:t>将响应文件</w:t>
      </w:r>
      <w:r>
        <w:rPr>
          <w:rFonts w:hint="eastAsia" w:ascii="仿宋" w:hAnsi="仿宋" w:eastAsia="仿宋" w:cs="仿宋"/>
          <w:sz w:val="32"/>
          <w:szCs w:val="32"/>
          <w:lang w:val="en-US" w:eastAsia="zh-CN"/>
        </w:rPr>
        <w:t>盖章扫描后上传于陕西锌业有限公司招标采购平台</w:t>
      </w:r>
      <w:r>
        <w:rPr>
          <w:rFonts w:hint="eastAsia" w:ascii="仿宋" w:hAnsi="仿宋" w:eastAsia="仿宋" w:cs="仿宋"/>
          <w:sz w:val="32"/>
          <w:szCs w:val="32"/>
          <w:lang w:eastAsia="zh-CN"/>
        </w:rPr>
        <w:t>。</w:t>
      </w:r>
    </w:p>
    <w:p w14:paraId="55541E72">
      <w:pPr>
        <w:pStyle w:val="11"/>
        <w:widowControl/>
        <w:spacing w:beforeAutospacing="0" w:afterAutospacing="0" w:line="560" w:lineRule="exact"/>
        <w:ind w:firstLine="645"/>
        <w:rPr>
          <w:rFonts w:ascii="仿宋" w:hAnsi="仿宋" w:eastAsia="仿宋" w:cs="仿宋"/>
          <w:szCs w:val="32"/>
        </w:rPr>
      </w:pPr>
      <w:r>
        <w:rPr>
          <w:rStyle w:val="15"/>
          <w:rFonts w:hint="eastAsia" w:ascii="仿宋" w:hAnsi="仿宋" w:eastAsia="仿宋" w:cs="仿宋"/>
          <w:color w:val="000000"/>
          <w:sz w:val="32"/>
          <w:szCs w:val="32"/>
        </w:rPr>
        <w:t>五、响应文件的</w:t>
      </w:r>
      <w:r>
        <w:rPr>
          <w:rFonts w:hint="eastAsia" w:ascii="仿宋" w:hAnsi="仿宋" w:eastAsia="仿宋" w:cs="仿宋"/>
          <w:sz w:val="32"/>
          <w:szCs w:val="32"/>
        </w:rPr>
        <w:t>评审</w:t>
      </w:r>
    </w:p>
    <w:p w14:paraId="7AD8EBE5">
      <w:pPr>
        <w:overflowPunct w:val="0"/>
        <w:spacing w:line="560" w:lineRule="exact"/>
        <w:ind w:firstLine="640" w:firstLineChars="200"/>
        <w:rPr>
          <w:rFonts w:ascii="仿宋" w:hAnsi="仿宋" w:eastAsia="仿宋" w:cs="仿宋"/>
          <w:sz w:val="32"/>
          <w:szCs w:val="32"/>
        </w:rPr>
      </w:pPr>
      <w:bookmarkStart w:id="65" w:name="_Toc9481"/>
      <w:bookmarkStart w:id="66" w:name="_Toc33795807"/>
      <w:bookmarkStart w:id="67" w:name="_Toc8518"/>
      <w:r>
        <w:rPr>
          <w:rFonts w:hint="eastAsia" w:ascii="仿宋" w:hAnsi="仿宋" w:eastAsia="仿宋" w:cs="仿宋"/>
          <w:sz w:val="32"/>
          <w:szCs w:val="32"/>
        </w:rPr>
        <w:t>本项目评审采用综合评估法，详见附表。</w:t>
      </w:r>
    </w:p>
    <w:p w14:paraId="5CA71778">
      <w:pPr>
        <w:pStyle w:val="5"/>
        <w:keepNext w:val="0"/>
        <w:keepLines w:val="0"/>
        <w:overflowPunct w:val="0"/>
        <w:spacing w:before="0" w:after="0" w:line="560" w:lineRule="exact"/>
        <w:ind w:firstLine="643" w:firstLineChars="200"/>
        <w:rPr>
          <w:rFonts w:ascii="仿宋" w:hAnsi="仿宋" w:eastAsia="仿宋" w:cs="仿宋"/>
          <w:szCs w:val="32"/>
        </w:rPr>
      </w:pPr>
      <w:r>
        <w:rPr>
          <w:rFonts w:hint="eastAsia" w:ascii="仿宋" w:hAnsi="仿宋" w:eastAsia="仿宋" w:cs="仿宋"/>
          <w:szCs w:val="32"/>
        </w:rPr>
        <w:t>六、合同授予</w:t>
      </w:r>
      <w:bookmarkEnd w:id="65"/>
      <w:bookmarkEnd w:id="66"/>
      <w:bookmarkEnd w:id="67"/>
    </w:p>
    <w:p w14:paraId="707247BD">
      <w:pPr>
        <w:pStyle w:val="6"/>
        <w:keepNext w:val="0"/>
        <w:keepLines w:val="0"/>
        <w:overflowPunct w:val="0"/>
        <w:spacing w:before="0" w:after="0" w:line="560" w:lineRule="exact"/>
        <w:ind w:firstLine="320" w:firstLineChars="100"/>
        <w:rPr>
          <w:rFonts w:ascii="仿宋" w:hAnsi="仿宋" w:eastAsia="仿宋" w:cs="仿宋"/>
          <w:sz w:val="32"/>
          <w:szCs w:val="32"/>
        </w:rPr>
      </w:pPr>
      <w:bookmarkStart w:id="68" w:name="_Toc30852"/>
      <w:bookmarkStart w:id="69" w:name="_Toc33795808"/>
      <w:bookmarkStart w:id="70" w:name="_Toc21093"/>
      <w:bookmarkStart w:id="71" w:name="_Toc16094"/>
      <w:r>
        <w:rPr>
          <w:rFonts w:hint="eastAsia" w:ascii="仿宋" w:hAnsi="仿宋" w:eastAsia="仿宋" w:cs="仿宋"/>
          <w:sz w:val="32"/>
          <w:szCs w:val="32"/>
        </w:rPr>
        <w:t>（一）成交候选人公示</w:t>
      </w:r>
      <w:bookmarkEnd w:id="68"/>
      <w:bookmarkEnd w:id="69"/>
      <w:bookmarkEnd w:id="70"/>
      <w:bookmarkEnd w:id="71"/>
    </w:p>
    <w:p w14:paraId="013156DF">
      <w:pPr>
        <w:overflowPunct w:val="0"/>
        <w:spacing w:line="560" w:lineRule="exact"/>
        <w:ind w:firstLine="640" w:firstLineChars="200"/>
        <w:rPr>
          <w:rFonts w:ascii="仿宋" w:hAnsi="仿宋" w:eastAsia="仿宋" w:cs="仿宋"/>
          <w:sz w:val="32"/>
          <w:szCs w:val="32"/>
        </w:rPr>
      </w:pPr>
      <w:bookmarkStart w:id="72" w:name="_Toc10372"/>
      <w:bookmarkStart w:id="73" w:name="_Toc7018"/>
      <w:bookmarkStart w:id="74" w:name="_Toc19079"/>
      <w:bookmarkStart w:id="75" w:name="_Toc33795809"/>
      <w:r>
        <w:rPr>
          <w:rFonts w:hint="eastAsia" w:ascii="仿宋" w:hAnsi="仿宋" w:eastAsia="仿宋" w:cs="仿宋"/>
          <w:sz w:val="32"/>
          <w:szCs w:val="32"/>
        </w:rPr>
        <w:t>在陕西锌业有限公司网络采购平台www.sxxyjjpt.com公示成交候选人，公示期不少于3天。</w:t>
      </w:r>
    </w:p>
    <w:p w14:paraId="154EFE06">
      <w:pPr>
        <w:pStyle w:val="6"/>
        <w:keepNext w:val="0"/>
        <w:keepLines w:val="0"/>
        <w:overflowPunct w:val="0"/>
        <w:spacing w:before="0" w:after="0" w:line="560" w:lineRule="exact"/>
        <w:ind w:firstLine="320" w:firstLineChars="100"/>
        <w:rPr>
          <w:rFonts w:ascii="仿宋" w:hAnsi="仿宋" w:eastAsia="仿宋" w:cs="仿宋"/>
          <w:sz w:val="32"/>
          <w:szCs w:val="32"/>
        </w:rPr>
      </w:pPr>
      <w:r>
        <w:rPr>
          <w:rFonts w:hint="eastAsia" w:ascii="仿宋" w:hAnsi="仿宋" w:eastAsia="仿宋" w:cs="仿宋"/>
          <w:sz w:val="32"/>
          <w:szCs w:val="32"/>
        </w:rPr>
        <w:t>（二）评审结果异议</w:t>
      </w:r>
      <w:bookmarkEnd w:id="72"/>
      <w:bookmarkEnd w:id="73"/>
      <w:bookmarkEnd w:id="74"/>
      <w:bookmarkEnd w:id="75"/>
    </w:p>
    <w:p w14:paraId="5BCB21B5">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供应商或者其他利</w:t>
      </w:r>
      <w:bookmarkStart w:id="76" w:name="_Toc152045561"/>
      <w:bookmarkStart w:id="77" w:name="_Toc152042337"/>
      <w:bookmarkStart w:id="78" w:name="_Toc300834982"/>
      <w:bookmarkStart w:id="79" w:name="_Toc247527586"/>
      <w:bookmarkStart w:id="80" w:name="_Toc352691505"/>
      <w:bookmarkStart w:id="81" w:name="_Toc247513985"/>
      <w:bookmarkStart w:id="82" w:name="_Toc384308243"/>
      <w:bookmarkStart w:id="83" w:name="_Toc144974529"/>
      <w:bookmarkStart w:id="84" w:name="_Toc30095"/>
      <w:bookmarkStart w:id="85" w:name="_Toc361508618"/>
      <w:bookmarkStart w:id="86" w:name="_Toc369531549"/>
      <w:r>
        <w:rPr>
          <w:rFonts w:hint="eastAsia" w:ascii="仿宋" w:hAnsi="仿宋" w:eastAsia="仿宋" w:cs="仿宋"/>
          <w:sz w:val="32"/>
          <w:szCs w:val="32"/>
        </w:rPr>
        <w:t>害关系人对</w:t>
      </w:r>
      <w:bookmarkEnd w:id="76"/>
      <w:bookmarkEnd w:id="77"/>
      <w:bookmarkEnd w:id="78"/>
      <w:bookmarkEnd w:id="79"/>
      <w:bookmarkEnd w:id="80"/>
      <w:bookmarkEnd w:id="81"/>
      <w:bookmarkEnd w:id="82"/>
      <w:bookmarkEnd w:id="83"/>
      <w:bookmarkEnd w:id="84"/>
      <w:bookmarkEnd w:id="85"/>
      <w:bookmarkEnd w:id="86"/>
      <w:r>
        <w:rPr>
          <w:rFonts w:hint="eastAsia" w:ascii="仿宋" w:hAnsi="仿宋" w:eastAsia="仿宋" w:cs="仿宋"/>
          <w:sz w:val="32"/>
          <w:szCs w:val="32"/>
        </w:rPr>
        <w:t>评审结果有异议的，应当在成交候选人公示期间提出。采购人在收到异议之日起3日内对异议作出答复；作出答复前，将暂停询比采购活动。</w:t>
      </w:r>
    </w:p>
    <w:p w14:paraId="46BB5964">
      <w:pPr>
        <w:pStyle w:val="6"/>
        <w:keepNext w:val="0"/>
        <w:keepLines w:val="0"/>
        <w:overflowPunct w:val="0"/>
        <w:spacing w:before="0" w:after="0" w:line="560" w:lineRule="exact"/>
        <w:ind w:firstLine="320" w:firstLineChars="100"/>
        <w:rPr>
          <w:rFonts w:ascii="仿宋" w:hAnsi="仿宋" w:eastAsia="仿宋" w:cs="仿宋"/>
          <w:sz w:val="32"/>
          <w:szCs w:val="32"/>
        </w:rPr>
      </w:pPr>
      <w:bookmarkStart w:id="87" w:name="_Toc25590"/>
      <w:bookmarkStart w:id="88" w:name="_Toc21648"/>
      <w:bookmarkStart w:id="89" w:name="_Toc28756"/>
      <w:bookmarkStart w:id="90" w:name="_Toc33795810"/>
      <w:r>
        <w:rPr>
          <w:rFonts w:hint="eastAsia" w:ascii="仿宋" w:hAnsi="仿宋" w:eastAsia="仿宋" w:cs="仿宋"/>
          <w:sz w:val="32"/>
          <w:szCs w:val="32"/>
        </w:rPr>
        <w:t>（三）成交候选人履约能力审查</w:t>
      </w:r>
      <w:bookmarkEnd w:id="87"/>
      <w:bookmarkEnd w:id="88"/>
      <w:bookmarkEnd w:id="89"/>
      <w:bookmarkEnd w:id="90"/>
    </w:p>
    <w:p w14:paraId="7B875033">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pStyle w:val="6"/>
        <w:keepNext w:val="0"/>
        <w:keepLines w:val="0"/>
        <w:overflowPunct w:val="0"/>
        <w:spacing w:before="0" w:after="0" w:line="560" w:lineRule="exact"/>
        <w:ind w:firstLine="320" w:firstLineChars="100"/>
        <w:rPr>
          <w:rFonts w:ascii="仿宋" w:hAnsi="仿宋" w:eastAsia="仿宋" w:cs="仿宋"/>
          <w:sz w:val="32"/>
          <w:szCs w:val="32"/>
        </w:rPr>
      </w:pPr>
      <w:bookmarkStart w:id="91" w:name="_Toc19470"/>
      <w:bookmarkStart w:id="92" w:name="_Toc2191"/>
      <w:bookmarkStart w:id="93" w:name="_Toc33795811"/>
      <w:bookmarkStart w:id="94" w:name="_Toc24665"/>
      <w:r>
        <w:rPr>
          <w:rFonts w:hint="eastAsia" w:ascii="仿宋" w:hAnsi="仿宋" w:eastAsia="仿宋" w:cs="仿宋"/>
          <w:sz w:val="32"/>
          <w:szCs w:val="32"/>
        </w:rPr>
        <w:t>（四）</w:t>
      </w:r>
      <w:bookmarkEnd w:id="91"/>
      <w:bookmarkEnd w:id="92"/>
      <w:bookmarkEnd w:id="93"/>
      <w:bookmarkEnd w:id="94"/>
      <w:r>
        <w:rPr>
          <w:rFonts w:hint="eastAsia" w:ascii="仿宋" w:hAnsi="仿宋" w:eastAsia="仿宋" w:cs="仿宋"/>
          <w:sz w:val="32"/>
          <w:szCs w:val="32"/>
        </w:rPr>
        <w:t>确定成交人</w:t>
      </w:r>
    </w:p>
    <w:p w14:paraId="0475F37C">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采购人单位履行内部审批程序，根据评审小组的评审报告及成交人候选人名单确定成交人。</w:t>
      </w:r>
    </w:p>
    <w:p w14:paraId="516B1981">
      <w:pPr>
        <w:pStyle w:val="6"/>
        <w:keepNext w:val="0"/>
        <w:keepLines w:val="0"/>
        <w:overflowPunct w:val="0"/>
        <w:spacing w:before="0" w:after="0" w:line="560" w:lineRule="exact"/>
        <w:rPr>
          <w:rFonts w:ascii="仿宋" w:hAnsi="仿宋" w:eastAsia="仿宋" w:cs="仿宋"/>
          <w:sz w:val="32"/>
          <w:szCs w:val="32"/>
        </w:rPr>
      </w:pPr>
      <w:bookmarkStart w:id="95" w:name="_Toc3671"/>
      <w:bookmarkStart w:id="96" w:name="_Toc33795814"/>
      <w:bookmarkStart w:id="97" w:name="_Toc11183"/>
      <w:bookmarkStart w:id="98" w:name="_Toc14362"/>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）签订合同</w:t>
      </w:r>
      <w:bookmarkEnd w:id="95"/>
      <w:bookmarkEnd w:id="96"/>
      <w:bookmarkEnd w:id="97"/>
      <w:bookmarkEnd w:id="98"/>
    </w:p>
    <w:p w14:paraId="35ABD4F8">
      <w:pPr>
        <w:overflowPunct w:val="0"/>
        <w:spacing w:line="560" w:lineRule="exact"/>
        <w:ind w:firstLine="640" w:firstLineChars="200"/>
        <w:rPr>
          <w:rFonts w:ascii="仿宋" w:hAnsi="仿宋" w:eastAsia="仿宋" w:cs="仿宋"/>
          <w:sz w:val="32"/>
          <w:szCs w:val="32"/>
        </w:rPr>
      </w:pPr>
      <w:bookmarkStart w:id="99" w:name="_Toc24067"/>
      <w:bookmarkStart w:id="100" w:name="_Toc384308252"/>
      <w:bookmarkStart w:id="101" w:name="_Toc361508627"/>
      <w:bookmarkStart w:id="102" w:name="_Toc247527593"/>
      <w:bookmarkStart w:id="103" w:name="_Toc247513992"/>
      <w:bookmarkStart w:id="104" w:name="_Toc144974536"/>
      <w:bookmarkStart w:id="105" w:name="_Toc300834991"/>
      <w:bookmarkStart w:id="106" w:name="_Toc152045568"/>
      <w:bookmarkStart w:id="107" w:name="_Toc152042344"/>
      <w:r>
        <w:rPr>
          <w:rFonts w:hint="eastAsia" w:ascii="仿宋" w:hAnsi="仿宋" w:eastAsia="仿宋" w:cs="仿宋"/>
          <w:sz w:val="32"/>
          <w:szCs w:val="32"/>
        </w:rPr>
        <w:t>1.采购人和成交供应商应当在响应有效期内，且在收到成交通知之日起</w:t>
      </w:r>
      <w:bookmarkStart w:id="108" w:name="_Toc152042340"/>
      <w:bookmarkStart w:id="109" w:name="_Toc4656"/>
      <w:bookmarkStart w:id="110" w:name="_Toc152045564"/>
      <w:bookmarkStart w:id="111" w:name="_Toc247513988"/>
      <w:bookmarkStart w:id="112" w:name="_Toc369531553"/>
      <w:bookmarkStart w:id="113" w:name="_Toc247527589"/>
      <w:bookmarkStart w:id="114" w:name="_Toc352691509"/>
      <w:bookmarkStart w:id="115" w:name="_Toc300834986"/>
      <w:bookmarkStart w:id="116" w:name="_Toc144974532"/>
      <w:bookmarkStart w:id="117" w:name="_Toc361508622"/>
      <w:bookmarkStart w:id="118" w:name="_Toc384308247"/>
      <w:r>
        <w:rPr>
          <w:rFonts w:hint="eastAsia" w:ascii="仿宋" w:hAnsi="仿宋" w:eastAsia="仿宋" w:cs="仿宋"/>
          <w:sz w:val="32"/>
          <w:szCs w:val="32"/>
        </w:rPr>
        <w:t>7日内，根据</w:t>
      </w:r>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cs="仿宋"/>
          <w:sz w:val="32"/>
          <w:szCs w:val="32"/>
        </w:rPr>
        <w:t>询比采购文件和成交人的响应文件订立书面合同。成交人无正</w:t>
      </w:r>
      <w:bookmarkStart w:id="119" w:name="_Toc300834987"/>
      <w:bookmarkStart w:id="120" w:name="_Toc144974533"/>
      <w:bookmarkStart w:id="121" w:name="_Toc384308248"/>
      <w:bookmarkStart w:id="122" w:name="_Toc18247"/>
      <w:bookmarkStart w:id="123" w:name="_Toc152045565"/>
      <w:bookmarkStart w:id="124" w:name="_Toc352691510"/>
      <w:bookmarkStart w:id="125" w:name="_Toc247527590"/>
      <w:bookmarkStart w:id="126" w:name="_Toc152042341"/>
      <w:bookmarkStart w:id="127" w:name="_Toc369531554"/>
      <w:bookmarkStart w:id="128" w:name="_Toc361508623"/>
      <w:bookmarkStart w:id="129" w:name="_Toc247513989"/>
      <w:r>
        <w:rPr>
          <w:rFonts w:hint="eastAsia" w:ascii="仿宋" w:hAnsi="仿宋" w:eastAsia="仿宋" w:cs="仿宋"/>
          <w:sz w:val="32"/>
          <w:szCs w:val="32"/>
        </w:rPr>
        <w:t>当理由拒签合</w:t>
      </w:r>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sz w:val="32"/>
          <w:szCs w:val="32"/>
        </w:rPr>
        <w:t>同，或者提出其他附加条件的，采购人有权取消其成交资格，其响应保证金不予退还；给采购人造成的损失超出响应保证金数额的，成交供应商还应当对超出部分予以赔偿。</w:t>
      </w:r>
    </w:p>
    <w:p w14:paraId="39D04242">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2.发出成交通知书后，采购人无正当理由拒签合同的，或者提出其他附加条件的，采购人向成交人退还响应保证金；给成交人造成损失的，还应当赔偿损失。</w:t>
      </w:r>
    </w:p>
    <w:bookmarkEnd w:id="99"/>
    <w:bookmarkEnd w:id="100"/>
    <w:bookmarkEnd w:id="101"/>
    <w:p w14:paraId="049A3FAD">
      <w:pPr>
        <w:pStyle w:val="5"/>
        <w:keepNext w:val="0"/>
        <w:keepLines w:val="0"/>
        <w:overflowPunct w:val="0"/>
        <w:spacing w:before="0" w:after="0" w:line="560" w:lineRule="exact"/>
        <w:ind w:firstLine="643" w:firstLineChars="200"/>
        <w:rPr>
          <w:rFonts w:ascii="仿宋" w:hAnsi="仿宋" w:eastAsia="仿宋" w:cs="仿宋"/>
          <w:szCs w:val="32"/>
        </w:rPr>
      </w:pPr>
      <w:bookmarkStart w:id="130" w:name="_Toc33795815"/>
      <w:bookmarkStart w:id="131" w:name="_Toc14752"/>
      <w:bookmarkStart w:id="132" w:name="_Toc25347"/>
      <w:r>
        <w:rPr>
          <w:rFonts w:hint="eastAsia" w:ascii="仿宋" w:hAnsi="仿宋" w:eastAsia="仿宋" w:cs="仿宋"/>
          <w:szCs w:val="32"/>
        </w:rPr>
        <w:t>七、纪律和监督</w:t>
      </w:r>
      <w:bookmarkEnd w:id="130"/>
      <w:bookmarkEnd w:id="131"/>
      <w:bookmarkEnd w:id="132"/>
    </w:p>
    <w:p w14:paraId="37E931AE">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（一）供应商不得相互串通投标或者与采购人串通投标，不得向采购人或者评审小组成员行贿谋取成交，不得以他人名义投标或者以其他方式弄虚作假骗取成交；供应商不得以任何方式干扰、影响评标工作。</w:t>
      </w:r>
    </w:p>
    <w:p w14:paraId="72C23A99">
      <w:pPr>
        <w:overflowPunct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（二）评审小组成员及相关工作人员不得收受他人的财物或者其他好处，不得向他人透露对响应文件的评审</w:t>
      </w:r>
      <w:bookmarkStart w:id="133" w:name="_Toc369531559"/>
      <w:bookmarkStart w:id="134" w:name="_Toc361508628"/>
      <w:bookmarkStart w:id="135" w:name="_Toc384308253"/>
      <w:bookmarkStart w:id="136" w:name="_Toc13644"/>
      <w:bookmarkStart w:id="137" w:name="_Toc352691515"/>
      <w:r>
        <w:rPr>
          <w:rFonts w:hint="eastAsia" w:ascii="仿宋" w:hAnsi="仿宋" w:eastAsia="仿宋" w:cs="仿宋"/>
          <w:sz w:val="32"/>
          <w:szCs w:val="32"/>
        </w:rPr>
        <w:t>和比较、</w:t>
      </w:r>
      <w:bookmarkEnd w:id="102"/>
      <w:bookmarkEnd w:id="103"/>
      <w:bookmarkEnd w:id="104"/>
      <w:bookmarkEnd w:id="105"/>
      <w:bookmarkEnd w:id="106"/>
      <w:bookmarkEnd w:id="107"/>
      <w:bookmarkEnd w:id="133"/>
      <w:bookmarkEnd w:id="134"/>
      <w:bookmarkEnd w:id="135"/>
      <w:bookmarkEnd w:id="136"/>
      <w:bookmarkEnd w:id="137"/>
      <w:r>
        <w:rPr>
          <w:rFonts w:hint="eastAsia" w:ascii="仿宋" w:hAnsi="仿宋" w:eastAsia="仿宋" w:cs="仿宋"/>
          <w:sz w:val="32"/>
          <w:szCs w:val="32"/>
        </w:rPr>
        <w:t>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14:paraId="013945AA">
      <w:pPr>
        <w:pStyle w:val="6"/>
        <w:keepNext w:val="0"/>
        <w:keepLines w:val="0"/>
        <w:overflowPunct w:val="0"/>
        <w:spacing w:before="0" w:after="0" w:line="560" w:lineRule="exact"/>
        <w:ind w:firstLine="640" w:firstLineChars="200"/>
        <w:rPr>
          <w:rFonts w:ascii="仿宋" w:hAnsi="仿宋" w:eastAsia="仿宋" w:cs="仿宋"/>
          <w:sz w:val="32"/>
          <w:szCs w:val="32"/>
        </w:rPr>
      </w:pPr>
      <w:bookmarkStart w:id="138" w:name="_Toc18070"/>
      <w:bookmarkStart w:id="139" w:name="_Toc33795820"/>
      <w:bookmarkStart w:id="140" w:name="_Toc24957"/>
      <w:bookmarkStart w:id="141" w:name="_Toc22294"/>
      <w:r>
        <w:rPr>
          <w:rFonts w:hint="eastAsia" w:ascii="仿宋" w:hAnsi="仿宋" w:eastAsia="仿宋" w:cs="仿宋"/>
          <w:sz w:val="32"/>
          <w:szCs w:val="32"/>
        </w:rPr>
        <w:t>（三）异议</w:t>
      </w:r>
      <w:bookmarkEnd w:id="138"/>
      <w:bookmarkEnd w:id="139"/>
      <w:bookmarkEnd w:id="140"/>
      <w:bookmarkEnd w:id="141"/>
    </w:p>
    <w:p w14:paraId="22591F27">
      <w:pPr>
        <w:overflowPunct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1.供应商或者其他利害关系人认为采购人采购活动存在违法或违反平等自愿、公平诚信原则的，可以直接向采购人单位招标办公室提出异议。</w:t>
      </w:r>
    </w:p>
    <w:p w14:paraId="4FC8EE05">
      <w:pPr>
        <w:overflowPunct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2.招标办收到供应商提出的异议，应当依法、依规、妥善处理异议，并在收到异议之日起三个工作日内，对异议提出人做出答复。答复前，可暂停下一程序的采购活动。 </w:t>
      </w:r>
    </w:p>
    <w:p w14:paraId="3C0AD252">
      <w:pPr>
        <w:overflowPunct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3.对响应采购供应商提出的异议，如属异议提出人对相关问题理解有误的，招标办应做出解释；如经核查发现采购活动确实存在违法或违反本办法相关规定的，招标办应及时予以纠正或补救。       </w:t>
      </w:r>
    </w:p>
    <w:p w14:paraId="514CD12E">
      <w:pPr>
        <w:overflowPunct w:val="0"/>
        <w:spacing w:line="560" w:lineRule="exact"/>
        <w:ind w:firstLine="640" w:firstLineChars="200"/>
        <w:rPr>
          <w:rFonts w:hint="eastAsia" w:ascii="仿宋" w:hAnsi="仿宋" w:eastAsia="仿宋" w:cs="仿宋"/>
          <w:kern w:val="0"/>
          <w:sz w:val="32"/>
          <w:szCs w:val="32"/>
        </w:rPr>
      </w:pPr>
    </w:p>
    <w:p w14:paraId="2282EE4A">
      <w:pPr>
        <w:overflowPunct w:val="0"/>
        <w:spacing w:line="560" w:lineRule="exact"/>
        <w:rPr>
          <w:rFonts w:ascii="仿宋" w:hAnsi="仿宋" w:eastAsia="仿宋" w:cs="仿宋"/>
          <w:sz w:val="32"/>
          <w:szCs w:val="32"/>
        </w:rPr>
      </w:pPr>
    </w:p>
    <w:p w14:paraId="6BB3D603">
      <w:pPr>
        <w:overflowPunct w:val="0"/>
        <w:spacing w:line="560" w:lineRule="exact"/>
        <w:ind w:firstLine="4160" w:firstLineChars="1300"/>
        <w:rPr>
          <w:rFonts w:ascii="仿宋" w:hAnsi="仿宋" w:eastAsia="仿宋" w:cs="仿宋"/>
          <w:sz w:val="32"/>
          <w:szCs w:val="32"/>
        </w:rPr>
      </w:pPr>
      <w:r>
        <w:rPr>
          <w:rFonts w:hint="eastAsia" w:ascii="仿宋" w:hAnsi="仿宋" w:eastAsia="仿宋" w:cs="仿宋"/>
          <w:sz w:val="32"/>
          <w:szCs w:val="32"/>
        </w:rPr>
        <w:t>陕西锌业有限公司</w:t>
      </w:r>
    </w:p>
    <w:p w14:paraId="60C5FC19">
      <w:pPr>
        <w:overflowPunct w:val="0"/>
        <w:spacing w:line="560" w:lineRule="exact"/>
        <w:ind w:firstLine="4160" w:firstLineChars="1300"/>
        <w:rPr>
          <w:rFonts w:ascii="宋体" w:hAnsi="宋体" w:eastAsia="宋体" w:cs="宋体"/>
          <w:sz w:val="36"/>
          <w:szCs w:val="36"/>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14:paraId="55000ECA">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A8B7A-D612-4DD6-A65F-DB871E5D7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E3A0950-D7D0-4242-BF9A-D5FB157CC525}"/>
  </w:font>
  <w:font w:name="微软雅黑">
    <w:panose1 w:val="020B0503020204020204"/>
    <w:charset w:val="86"/>
    <w:family w:val="swiss"/>
    <w:pitch w:val="default"/>
    <w:sig w:usb0="80000287" w:usb1="2ACF3C50" w:usb2="00000016" w:usb3="00000000" w:csb0="0004001F" w:csb1="00000000"/>
    <w:embedRegular r:id="rId3" w:fontKey="{EDF1C34E-DA1A-4559-9774-680B3FC6B1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785E">
    <w:pPr>
      <w:pStyle w:val="18"/>
      <w:spacing w:line="240" w:lineRule="atLeast"/>
      <w:jc w:val="center"/>
      <w:rPr>
        <w:rFonts w:hAnsi="宋体"/>
        <w:sz w:val="18"/>
        <w:szCs w:val="18"/>
      </w:rPr>
    </w:pPr>
    <w:r>
      <w:rPr>
        <w:sz w:val="1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05A1362E">
                <w:pPr>
                  <w:pStyle w:val="9"/>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C8385">
    <w:pPr>
      <w:pStyle w:val="23"/>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1F3F020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FE7E0">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370464D"/>
    <w:rsid w:val="04683B1B"/>
    <w:rsid w:val="051379D8"/>
    <w:rsid w:val="05814B03"/>
    <w:rsid w:val="05BE40FB"/>
    <w:rsid w:val="06141C07"/>
    <w:rsid w:val="076A5F83"/>
    <w:rsid w:val="07720B9B"/>
    <w:rsid w:val="083245C7"/>
    <w:rsid w:val="08D00E36"/>
    <w:rsid w:val="0AA3355A"/>
    <w:rsid w:val="0B0A4D8C"/>
    <w:rsid w:val="0CAF4DC4"/>
    <w:rsid w:val="102F1EF5"/>
    <w:rsid w:val="106F0166"/>
    <w:rsid w:val="114161E7"/>
    <w:rsid w:val="130628D8"/>
    <w:rsid w:val="14F74BCE"/>
    <w:rsid w:val="14F90946"/>
    <w:rsid w:val="14FD19B0"/>
    <w:rsid w:val="15350822"/>
    <w:rsid w:val="17725CE9"/>
    <w:rsid w:val="19B65298"/>
    <w:rsid w:val="19BF0744"/>
    <w:rsid w:val="19BF485E"/>
    <w:rsid w:val="19D61256"/>
    <w:rsid w:val="19EF056A"/>
    <w:rsid w:val="1AEC4493"/>
    <w:rsid w:val="1B177D78"/>
    <w:rsid w:val="1DA8115B"/>
    <w:rsid w:val="1DB27CC5"/>
    <w:rsid w:val="1DD30B53"/>
    <w:rsid w:val="1E1E31CB"/>
    <w:rsid w:val="1E34479D"/>
    <w:rsid w:val="207E073E"/>
    <w:rsid w:val="21834158"/>
    <w:rsid w:val="220426D8"/>
    <w:rsid w:val="22F5715A"/>
    <w:rsid w:val="241430A6"/>
    <w:rsid w:val="2452597D"/>
    <w:rsid w:val="257B5469"/>
    <w:rsid w:val="257B685F"/>
    <w:rsid w:val="27503782"/>
    <w:rsid w:val="27CC3C98"/>
    <w:rsid w:val="297D7484"/>
    <w:rsid w:val="2A2E0C3A"/>
    <w:rsid w:val="2A4B3DED"/>
    <w:rsid w:val="2BF61145"/>
    <w:rsid w:val="2BF72AD0"/>
    <w:rsid w:val="2CAD4098"/>
    <w:rsid w:val="2D331C6F"/>
    <w:rsid w:val="2DE05E9B"/>
    <w:rsid w:val="2E033918"/>
    <w:rsid w:val="2EA4771D"/>
    <w:rsid w:val="31832E12"/>
    <w:rsid w:val="32A1627D"/>
    <w:rsid w:val="33260700"/>
    <w:rsid w:val="333C7F24"/>
    <w:rsid w:val="333D3C9C"/>
    <w:rsid w:val="339B5162"/>
    <w:rsid w:val="34DF16EF"/>
    <w:rsid w:val="354E1250"/>
    <w:rsid w:val="358E6037"/>
    <w:rsid w:val="36366121"/>
    <w:rsid w:val="37991DE9"/>
    <w:rsid w:val="38C369F1"/>
    <w:rsid w:val="39974106"/>
    <w:rsid w:val="3A3A65D2"/>
    <w:rsid w:val="3A561988"/>
    <w:rsid w:val="3ADC48A5"/>
    <w:rsid w:val="3BFF184D"/>
    <w:rsid w:val="3C697F00"/>
    <w:rsid w:val="3CB63F34"/>
    <w:rsid w:val="3CEB6517"/>
    <w:rsid w:val="3CFB6595"/>
    <w:rsid w:val="3CFD6BB7"/>
    <w:rsid w:val="3D34475C"/>
    <w:rsid w:val="3E3C01FF"/>
    <w:rsid w:val="3F2D1BEF"/>
    <w:rsid w:val="3FE9293F"/>
    <w:rsid w:val="405A4224"/>
    <w:rsid w:val="413E2B63"/>
    <w:rsid w:val="427A5715"/>
    <w:rsid w:val="433C5D1E"/>
    <w:rsid w:val="44093E52"/>
    <w:rsid w:val="44107006"/>
    <w:rsid w:val="44920CB0"/>
    <w:rsid w:val="45726E52"/>
    <w:rsid w:val="45A00D58"/>
    <w:rsid w:val="460F14C8"/>
    <w:rsid w:val="465869CB"/>
    <w:rsid w:val="46637C62"/>
    <w:rsid w:val="46933C70"/>
    <w:rsid w:val="485F64AC"/>
    <w:rsid w:val="4ABD6B93"/>
    <w:rsid w:val="4B896DF6"/>
    <w:rsid w:val="4CB27A82"/>
    <w:rsid w:val="4CD03E45"/>
    <w:rsid w:val="4D66647C"/>
    <w:rsid w:val="4E6B74B7"/>
    <w:rsid w:val="4F18763F"/>
    <w:rsid w:val="4F2D1733"/>
    <w:rsid w:val="500261D8"/>
    <w:rsid w:val="50610B72"/>
    <w:rsid w:val="509B2FD7"/>
    <w:rsid w:val="51D376E3"/>
    <w:rsid w:val="523676EA"/>
    <w:rsid w:val="524F1A19"/>
    <w:rsid w:val="54EB7CA8"/>
    <w:rsid w:val="55EF7BB3"/>
    <w:rsid w:val="55F20E2B"/>
    <w:rsid w:val="56737851"/>
    <w:rsid w:val="5680683F"/>
    <w:rsid w:val="56F815DC"/>
    <w:rsid w:val="57711FE2"/>
    <w:rsid w:val="59907EED"/>
    <w:rsid w:val="5A715E56"/>
    <w:rsid w:val="5B97061C"/>
    <w:rsid w:val="5C02145B"/>
    <w:rsid w:val="5C2B04AE"/>
    <w:rsid w:val="5C594DF3"/>
    <w:rsid w:val="5D042FB1"/>
    <w:rsid w:val="5DA87DE0"/>
    <w:rsid w:val="5DCA09A3"/>
    <w:rsid w:val="5E8D407E"/>
    <w:rsid w:val="5F213A10"/>
    <w:rsid w:val="5F8C5DB5"/>
    <w:rsid w:val="602C2F4B"/>
    <w:rsid w:val="60675D3C"/>
    <w:rsid w:val="6077565B"/>
    <w:rsid w:val="60C97FB7"/>
    <w:rsid w:val="61137C66"/>
    <w:rsid w:val="61483E9A"/>
    <w:rsid w:val="61D92AF5"/>
    <w:rsid w:val="6483301F"/>
    <w:rsid w:val="64B22605"/>
    <w:rsid w:val="661E50E3"/>
    <w:rsid w:val="66452F0C"/>
    <w:rsid w:val="6667362D"/>
    <w:rsid w:val="671D4BFD"/>
    <w:rsid w:val="672C3830"/>
    <w:rsid w:val="67682688"/>
    <w:rsid w:val="68365066"/>
    <w:rsid w:val="68FE0F77"/>
    <w:rsid w:val="69495ABC"/>
    <w:rsid w:val="69B729ED"/>
    <w:rsid w:val="69E314DA"/>
    <w:rsid w:val="69F446AA"/>
    <w:rsid w:val="6A445335"/>
    <w:rsid w:val="6BD87931"/>
    <w:rsid w:val="6C2347F8"/>
    <w:rsid w:val="6CCD1611"/>
    <w:rsid w:val="6CE26D5D"/>
    <w:rsid w:val="6DB30807"/>
    <w:rsid w:val="6E4D6AAA"/>
    <w:rsid w:val="6E880895"/>
    <w:rsid w:val="6F4D07E7"/>
    <w:rsid w:val="7015517E"/>
    <w:rsid w:val="703561B0"/>
    <w:rsid w:val="70626755"/>
    <w:rsid w:val="707458D8"/>
    <w:rsid w:val="72E3289C"/>
    <w:rsid w:val="7330410A"/>
    <w:rsid w:val="736305DA"/>
    <w:rsid w:val="74F87447"/>
    <w:rsid w:val="7530098F"/>
    <w:rsid w:val="75CF2D70"/>
    <w:rsid w:val="76987E92"/>
    <w:rsid w:val="7BC57958"/>
    <w:rsid w:val="7C6E0553"/>
    <w:rsid w:val="7CC15652"/>
    <w:rsid w:val="7D8E094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3"/>
    <w:qFormat/>
    <w:uiPriority w:val="0"/>
    <w:pPr>
      <w:ind w:left="966" w:hanging="490"/>
      <w:outlineLvl w:val="3"/>
    </w:pPr>
    <w:rPr>
      <w:rFonts w:ascii="Times New Roman" w:hAnsi="Times New Roman"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Indent"/>
    <w:basedOn w:val="1"/>
    <w:qFormat/>
    <w:uiPriority w:val="0"/>
    <w:pPr>
      <w:spacing w:after="120"/>
      <w:ind w:left="420" w:leftChars="200"/>
    </w:pPr>
    <w:rPr>
      <w:rFonts w:ascii="Times New Roman" w:hAnsi="Times New Roman"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8">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9">
    <w:name w:val="font71"/>
    <w:basedOn w:val="14"/>
    <w:qFormat/>
    <w:uiPriority w:val="0"/>
    <w:rPr>
      <w:rFonts w:hint="eastAsia" w:ascii="宋体" w:hAnsi="宋体" w:eastAsia="宋体" w:cs="宋体"/>
      <w:b/>
      <w:bCs/>
      <w:color w:val="000000"/>
      <w:sz w:val="24"/>
      <w:szCs w:val="24"/>
      <w:u w:val="none"/>
    </w:rPr>
  </w:style>
  <w:style w:type="character" w:customStyle="1" w:styleId="20">
    <w:name w:val="font81"/>
    <w:basedOn w:val="14"/>
    <w:qFormat/>
    <w:uiPriority w:val="0"/>
    <w:rPr>
      <w:rFonts w:hint="eastAsia" w:ascii="宋体" w:hAnsi="宋体" w:eastAsia="宋体" w:cs="宋体"/>
      <w:color w:val="000000"/>
      <w:sz w:val="24"/>
      <w:szCs w:val="24"/>
      <w:u w:val="none"/>
    </w:rPr>
  </w:style>
  <w:style w:type="character" w:customStyle="1" w:styleId="21">
    <w:name w:val="font91"/>
    <w:basedOn w:val="14"/>
    <w:qFormat/>
    <w:uiPriority w:val="0"/>
    <w:rPr>
      <w:rFonts w:hint="eastAsia" w:ascii="宋体" w:hAnsi="宋体" w:eastAsia="宋体" w:cs="宋体"/>
      <w:color w:val="000000"/>
      <w:sz w:val="21"/>
      <w:szCs w:val="21"/>
      <w:u w:val="none"/>
    </w:rPr>
  </w:style>
  <w:style w:type="paragraph" w:customStyle="1" w:styleId="22">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3">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4">
    <w:name w:val="Page Number1"/>
    <w:basedOn w:val="14"/>
    <w:qFormat/>
    <w:uiPriority w:val="0"/>
    <w:rPr>
      <w:rFonts w:ascii="Times New Roman" w:hAnsi="Times New Roman" w:eastAsia="宋体" w:cs="Times New Roman"/>
    </w:rPr>
  </w:style>
  <w:style w:type="character" w:customStyle="1" w:styleId="25">
    <w:name w:val="font21"/>
    <w:basedOn w:val="14"/>
    <w:qFormat/>
    <w:uiPriority w:val="0"/>
    <w:rPr>
      <w:rFonts w:hint="eastAsia" w:ascii="仿宋" w:hAnsi="仿宋" w:eastAsia="仿宋" w:cs="仿宋"/>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4"/>
      <w:szCs w:val="24"/>
      <w:u w:val="none"/>
    </w:rPr>
  </w:style>
  <w:style w:type="character" w:customStyle="1" w:styleId="27">
    <w:name w:val="font11"/>
    <w:basedOn w:val="14"/>
    <w:qFormat/>
    <w:uiPriority w:val="0"/>
    <w:rPr>
      <w:rFonts w:hint="eastAsia" w:ascii="仿宋" w:hAnsi="仿宋" w:eastAsia="仿宋" w:cs="仿宋"/>
      <w:color w:val="000000"/>
      <w:sz w:val="24"/>
      <w:szCs w:val="24"/>
      <w:u w:val="none"/>
    </w:rPr>
  </w:style>
  <w:style w:type="character" w:customStyle="1" w:styleId="28">
    <w:name w:val="font31"/>
    <w:basedOn w:val="14"/>
    <w:qFormat/>
    <w:uiPriority w:val="0"/>
    <w:rPr>
      <w:rFonts w:hint="eastAsia" w:ascii="仿宋" w:hAnsi="仿宋" w:eastAsia="仿宋" w:cs="仿宋"/>
      <w:color w:val="000000"/>
      <w:sz w:val="24"/>
      <w:szCs w:val="24"/>
      <w:u w:val="none"/>
    </w:rPr>
  </w:style>
  <w:style w:type="character" w:customStyle="1" w:styleId="29">
    <w:name w:val="font41"/>
    <w:basedOn w:val="14"/>
    <w:qFormat/>
    <w:uiPriority w:val="0"/>
    <w:rPr>
      <w:rFonts w:hint="eastAsia" w:ascii="仿宋" w:hAnsi="仿宋" w:eastAsia="仿宋" w:cs="仿宋"/>
      <w:color w:val="FF0000"/>
      <w:sz w:val="24"/>
      <w:szCs w:val="24"/>
      <w:u w:val="none"/>
    </w:rPr>
  </w:style>
  <w:style w:type="paragraph" w:customStyle="1" w:styleId="30">
    <w:name w:val="Table Text"/>
    <w:basedOn w:val="1"/>
    <w:semiHidden/>
    <w:qFormat/>
    <w:uiPriority w:val="0"/>
    <w:rPr>
      <w:rFonts w:ascii="宋体" w:hAnsi="宋体" w:eastAsia="宋体" w:cs="宋体"/>
      <w:sz w:val="24"/>
      <w:lang w:eastAsia="en-US"/>
    </w:rPr>
  </w:style>
  <w:style w:type="table" w:customStyle="1" w:styleId="31">
    <w:name w:val="Table Normal"/>
    <w:unhideWhenUsed/>
    <w:qFormat/>
    <w:uiPriority w:val="0"/>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character" w:customStyle="1" w:styleId="33">
    <w:name w:val="页眉 Char"/>
    <w:basedOn w:val="14"/>
    <w:link w:val="10"/>
    <w:qFormat/>
    <w:uiPriority w:val="0"/>
    <w:rPr>
      <w:rFonts w:asciiTheme="minorHAnsi" w:hAnsiTheme="minorHAnsi" w:eastAsiaTheme="minorEastAsia" w:cstheme="minorBidi"/>
      <w:kern w:val="2"/>
      <w:sz w:val="18"/>
      <w:szCs w:val="18"/>
    </w:rPr>
  </w:style>
  <w:style w:type="paragraph" w:customStyle="1" w:styleId="34">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3793</Words>
  <Characters>3958</Characters>
  <Lines>38</Lines>
  <Paragraphs>10</Paragraphs>
  <TotalTime>5</TotalTime>
  <ScaleCrop>false</ScaleCrop>
  <LinksUpToDate>false</LinksUpToDate>
  <CharactersWithSpaces>3981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冰火</cp:lastModifiedBy>
  <cp:lastPrinted>2025-08-25T01:50:00Z</cp:lastPrinted>
  <dcterms:modified xsi:type="dcterms:W3CDTF">2026-03-03T08:41:35Z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eyJoZGlkIjoiMTU4ZWQzZDFhZmYzYTBiMWNlZmM2NzBiNzM0NTBkZjIiLCJ1c2VySWQiOiI2MDk2NjE4MDIifQ==</vt:lpwstr>
  </property>
</Properties>
</file>